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color w:val="auto"/>
        </w:rPr>
      </w:pPr>
      <w:r>
        <w:rPr>
          <w:rFonts w:hint="eastAsia"/>
          <w:color w:val="auto"/>
          <w:lang w:val="en-US" w:eastAsia="zh-CN"/>
        </w:rPr>
        <w:t>总论</w:t>
      </w:r>
    </w:p>
    <w:p>
      <w:pPr>
        <w:pStyle w:val="3"/>
        <w:bidi w:val="0"/>
        <w:rPr>
          <w:color w:val="auto"/>
        </w:rPr>
      </w:pPr>
      <w:r>
        <w:rPr>
          <w:rFonts w:hint="eastAsia"/>
          <w:color w:val="auto"/>
          <w:lang w:val="en-US" w:eastAsia="zh-CN"/>
        </w:rPr>
        <w:t>项目概况</w:t>
      </w:r>
    </w:p>
    <w:p>
      <w:pPr>
        <w:bidi w:val="0"/>
        <w:rPr>
          <w:rFonts w:hint="eastAsia"/>
          <w:color w:val="auto"/>
          <w:lang w:val="en-US" w:eastAsia="zh-CN"/>
        </w:rPr>
      </w:pPr>
      <w:r>
        <w:rPr>
          <w:rFonts w:hint="eastAsia"/>
          <w:color w:val="auto"/>
          <w:lang w:val="en-US" w:eastAsia="zh-CN"/>
        </w:rPr>
        <w:t>项目名称：湖南汨罗高新技术产业开发区产城融合示范基地基础设施建设项目。</w:t>
      </w:r>
    </w:p>
    <w:p>
      <w:pPr>
        <w:bidi w:val="0"/>
        <w:rPr>
          <w:rFonts w:hint="eastAsia" w:eastAsia="仿宋"/>
          <w:color w:val="auto"/>
          <w:lang w:eastAsia="zh-CN"/>
        </w:rPr>
      </w:pPr>
      <w:r>
        <w:rPr>
          <w:color w:val="auto"/>
        </w:rPr>
        <w:t>建设地点</w:t>
      </w:r>
      <w:r>
        <w:rPr>
          <w:rFonts w:hint="eastAsia"/>
          <w:color w:val="auto"/>
          <w:lang w:eastAsia="zh-CN"/>
        </w:rPr>
        <w:t>：汨罗市</w:t>
      </w:r>
      <w:r>
        <w:rPr>
          <w:rFonts w:hint="eastAsia"/>
          <w:color w:val="auto"/>
          <w:lang w:val="en-US" w:eastAsia="zh-CN"/>
        </w:rPr>
        <w:t>高新区</w:t>
      </w:r>
      <w:r>
        <w:rPr>
          <w:rFonts w:hint="eastAsia"/>
          <w:color w:val="auto"/>
          <w:lang w:eastAsia="zh-CN"/>
        </w:rPr>
        <w:t>新市镇新阳社区，清云路与新市南路交汇处西南侧地块。</w:t>
      </w:r>
    </w:p>
    <w:p>
      <w:pPr>
        <w:bidi w:val="0"/>
        <w:rPr>
          <w:rFonts w:hint="default"/>
          <w:color w:val="auto"/>
          <w:lang w:val="en-US" w:eastAsia="zh-CN"/>
        </w:rPr>
      </w:pPr>
      <w:r>
        <w:rPr>
          <w:rFonts w:hint="eastAsia"/>
          <w:color w:val="auto"/>
          <w:lang w:val="en-US" w:eastAsia="zh-CN"/>
        </w:rPr>
        <w:t>建设单位：湖南汨罗高新技术产业开发区管理委员会</w:t>
      </w:r>
    </w:p>
    <w:p>
      <w:pPr>
        <w:bidi w:val="0"/>
        <w:rPr>
          <w:rFonts w:hint="eastAsia"/>
          <w:color w:val="auto"/>
          <w:lang w:val="en-US" w:eastAsia="zh-CN"/>
        </w:rPr>
      </w:pPr>
      <w:r>
        <w:rPr>
          <w:rFonts w:hint="eastAsia"/>
          <w:color w:val="auto"/>
          <w:lang w:val="en-US" w:eastAsia="zh-CN"/>
        </w:rPr>
        <w:t>项目规模及内容：</w:t>
      </w:r>
    </w:p>
    <w:p>
      <w:pPr>
        <w:bidi w:val="0"/>
        <w:rPr>
          <w:color w:val="auto"/>
        </w:rPr>
      </w:pPr>
      <w:r>
        <w:rPr>
          <w:rFonts w:hint="eastAsia"/>
          <w:color w:val="auto"/>
          <w:lang w:val="en-US" w:eastAsia="zh-CN"/>
        </w:rPr>
        <w:t>项目用地41754.51㎡，约62.63亩，总建筑面积43957.00㎡，建筑占地面积15838.72㎡，计容面积42921.04㎡，容积率1.03，建筑密度37.93%，绿化率12.9%。</w:t>
      </w:r>
    </w:p>
    <w:p>
      <w:pPr>
        <w:bidi w:val="0"/>
        <w:rPr>
          <w:rFonts w:hint="default"/>
          <w:color w:val="auto"/>
          <w:lang w:val="en-US" w:eastAsia="zh-CN"/>
        </w:rPr>
      </w:pPr>
      <w:r>
        <w:rPr>
          <w:rFonts w:hint="default"/>
          <w:color w:val="auto"/>
          <w:lang w:val="en-US" w:eastAsia="zh-CN"/>
        </w:rPr>
        <w:t>本次建设内容：3栋三层标准厂房和1栋二层标准厂房</w:t>
      </w:r>
      <w:r>
        <w:rPr>
          <w:rFonts w:hint="eastAsia"/>
          <w:color w:val="auto"/>
          <w:lang w:val="en-US" w:eastAsia="zh-CN"/>
        </w:rPr>
        <w:t>37626.76</w:t>
      </w:r>
      <w:r>
        <w:rPr>
          <w:rFonts w:hint="default"/>
          <w:color w:val="auto"/>
          <w:lang w:val="en-US" w:eastAsia="zh-CN"/>
        </w:rPr>
        <w:t>㎡，1栋二层</w:t>
      </w:r>
      <w:r>
        <w:rPr>
          <w:rFonts w:hint="eastAsia"/>
          <w:color w:val="auto"/>
          <w:lang w:val="en-US" w:eastAsia="zh-CN"/>
        </w:rPr>
        <w:t>办公楼2409.00</w:t>
      </w:r>
      <w:r>
        <w:rPr>
          <w:rFonts w:hint="default"/>
          <w:color w:val="auto"/>
          <w:lang w:val="en-US" w:eastAsia="zh-CN"/>
        </w:rPr>
        <w:t>㎡，1栋三层的员工宿舍楼</w:t>
      </w:r>
      <w:r>
        <w:rPr>
          <w:rFonts w:hint="eastAsia"/>
          <w:color w:val="auto"/>
          <w:lang w:val="en-US" w:eastAsia="zh-CN"/>
        </w:rPr>
        <w:t>3683.24</w:t>
      </w:r>
      <w:r>
        <w:rPr>
          <w:rFonts w:hint="default"/>
          <w:color w:val="auto"/>
          <w:lang w:val="en-US" w:eastAsia="zh-CN"/>
        </w:rPr>
        <w:t>㎡，门卫</w:t>
      </w:r>
      <w:r>
        <w:rPr>
          <w:rFonts w:hint="eastAsia"/>
          <w:color w:val="auto"/>
          <w:lang w:val="en-US" w:eastAsia="zh-CN"/>
        </w:rPr>
        <w:t>48</w:t>
      </w:r>
      <w:r>
        <w:rPr>
          <w:rFonts w:hint="default"/>
          <w:color w:val="auto"/>
          <w:lang w:val="en-US" w:eastAsia="zh-CN"/>
        </w:rPr>
        <w:t>.00㎡，</w:t>
      </w:r>
      <w:r>
        <w:rPr>
          <w:rFonts w:hint="eastAsia"/>
          <w:color w:val="auto"/>
          <w:lang w:val="en-US" w:eastAsia="zh-CN"/>
        </w:rPr>
        <w:t>设备用房190.00</w:t>
      </w:r>
      <w:r>
        <w:rPr>
          <w:rFonts w:hint="default"/>
          <w:color w:val="auto"/>
          <w:lang w:val="en-US" w:eastAsia="zh-CN"/>
        </w:rPr>
        <w:t>㎡</w:t>
      </w:r>
      <w:r>
        <w:rPr>
          <w:rFonts w:hint="eastAsia"/>
          <w:color w:val="auto"/>
          <w:lang w:val="en-US" w:eastAsia="zh-CN"/>
        </w:rPr>
        <w:t>，</w:t>
      </w:r>
      <w:r>
        <w:rPr>
          <w:rFonts w:hint="default"/>
          <w:color w:val="auto"/>
          <w:lang w:val="en-US" w:eastAsia="zh-CN"/>
        </w:rPr>
        <w:t>停车位</w:t>
      </w:r>
      <w:r>
        <w:rPr>
          <w:rFonts w:hint="eastAsia"/>
          <w:color w:val="auto"/>
          <w:lang w:val="en-US" w:eastAsia="zh-CN"/>
        </w:rPr>
        <w:t>101</w:t>
      </w:r>
      <w:r>
        <w:rPr>
          <w:rFonts w:hint="default"/>
          <w:color w:val="auto"/>
          <w:lang w:val="en-US" w:eastAsia="zh-CN"/>
        </w:rPr>
        <w:t>个，其中小车位</w:t>
      </w:r>
      <w:r>
        <w:rPr>
          <w:rFonts w:hint="eastAsia"/>
          <w:color w:val="auto"/>
          <w:lang w:val="en-US" w:eastAsia="zh-CN"/>
        </w:rPr>
        <w:t>66</w:t>
      </w:r>
      <w:r>
        <w:rPr>
          <w:rFonts w:hint="default"/>
          <w:color w:val="auto"/>
          <w:lang w:val="en-US" w:eastAsia="zh-CN"/>
        </w:rPr>
        <w:t>个（含2个无障碍车位和</w:t>
      </w:r>
      <w:r>
        <w:rPr>
          <w:rFonts w:hint="eastAsia"/>
          <w:color w:val="auto"/>
          <w:lang w:val="en-US" w:eastAsia="zh-CN"/>
        </w:rPr>
        <w:t>21</w:t>
      </w:r>
      <w:r>
        <w:rPr>
          <w:rFonts w:hint="default"/>
          <w:color w:val="auto"/>
          <w:lang w:val="en-US" w:eastAsia="zh-CN"/>
        </w:rPr>
        <w:t>个充电桩车位），货车车位</w:t>
      </w:r>
      <w:r>
        <w:rPr>
          <w:rFonts w:hint="eastAsia"/>
          <w:color w:val="auto"/>
          <w:lang w:val="en-US" w:eastAsia="zh-CN"/>
        </w:rPr>
        <w:t>12</w:t>
      </w:r>
      <w:r>
        <w:rPr>
          <w:rFonts w:hint="default"/>
          <w:color w:val="auto"/>
          <w:lang w:val="en-US" w:eastAsia="zh-CN"/>
        </w:rPr>
        <w:t>个，并配套建设给排水、供配电、消防工程、暖通、燃气、环卫设施和围墙等。</w:t>
      </w:r>
    </w:p>
    <w:p>
      <w:pPr>
        <w:pStyle w:val="3"/>
        <w:bidi w:val="0"/>
        <w:rPr>
          <w:color w:val="auto"/>
        </w:rPr>
      </w:pPr>
      <w:r>
        <w:rPr>
          <w:rFonts w:hint="eastAsia"/>
          <w:color w:val="auto"/>
        </w:rPr>
        <w:t>项目背景</w:t>
      </w:r>
    </w:p>
    <w:p>
      <w:pPr>
        <w:bidi w:val="0"/>
        <w:rPr>
          <w:rFonts w:hint="eastAsia"/>
          <w:color w:val="auto"/>
        </w:rPr>
      </w:pPr>
      <w:r>
        <w:rPr>
          <w:rFonts w:hint="eastAsia"/>
          <w:color w:val="auto"/>
        </w:rPr>
        <w:t>汨罗地处长株潭两型综合实验区和洞庭湖生态经济区重叠交叉发展区域，公路、铁路、港航等物流运输通达，近年来，依靠强势崛起的再生资源产业优势，先后被定为全国循环经济标准化试点、中国社科院循环经济调研项目区，获评全省特色县域经济重点县。</w:t>
      </w:r>
    </w:p>
    <w:p>
      <w:pPr>
        <w:bidi w:val="0"/>
        <w:rPr>
          <w:rFonts w:hint="eastAsia"/>
          <w:color w:val="auto"/>
        </w:rPr>
      </w:pPr>
      <w:r>
        <w:rPr>
          <w:rFonts w:hint="eastAsia"/>
          <w:color w:val="auto"/>
        </w:rPr>
        <w:t>随着汨罗市经济的飞速发展和对外经济技术交流与合作的进一步加强，作为汨罗市项目投资依托和新的经济增长点的高新区建设也取得了长足发展和显著成就。产城融合科技示范基地的开发建设，将成为促进汨罗市区域经济发展的强有力的推动器。</w:t>
      </w:r>
    </w:p>
    <w:p>
      <w:pPr>
        <w:bidi w:val="0"/>
        <w:rPr>
          <w:rFonts w:hint="eastAsia"/>
          <w:color w:val="auto"/>
        </w:rPr>
      </w:pPr>
      <w:r>
        <w:rPr>
          <w:rFonts w:hint="eastAsia"/>
          <w:color w:val="auto"/>
        </w:rPr>
        <w:t>随着汨罗市高新区的发展，园区的环境、服务得到社会广泛认可，更多新的高新技术企业有入驻意向，而原有工业用地已基本用尽，可供使用工业用地日趋紧张，这种矛盾不仅大大弱化了园区的功能，而且经济发展势头受到遏制，其窗口作用、示范作用和带动作用难以发挥，对推动汨罗市经济结构的优化升级、加快区域经济发展和提高城市化水平也难以发挥应有的带动作用。</w:t>
      </w:r>
    </w:p>
    <w:p>
      <w:pPr>
        <w:bidi w:val="0"/>
        <w:rPr>
          <w:rFonts w:hint="eastAsia"/>
          <w:color w:val="auto"/>
        </w:rPr>
      </w:pPr>
      <w:r>
        <w:rPr>
          <w:rFonts w:hint="eastAsia"/>
          <w:color w:val="auto"/>
        </w:rPr>
        <w:t>项目建成后将为园区提供大量标准化厂房，同时完善园区产业配套功能，充分实现资源共享。同时可起到了筑“巢”引“凤”的作用，通过走集约化经营之路，方便了企业运作，降低了企业的创业成本，使社会资源得到优化配置，大大提高了资源的产出效率。有利于拉动汨罗高新区以及高铁新城区域的经济增长，有效推进园区经济结构的调整、优化和升级，对促进汨罗市经济的持续、健康、快速发展具有重要意义。</w:t>
      </w:r>
    </w:p>
    <w:p>
      <w:pPr>
        <w:pStyle w:val="3"/>
        <w:bidi w:val="0"/>
        <w:rPr>
          <w:rFonts w:hint="default"/>
          <w:color w:val="auto"/>
          <w:lang w:val="en-US" w:eastAsia="zh-CN"/>
        </w:rPr>
      </w:pPr>
      <w:r>
        <w:rPr>
          <w:rFonts w:hint="eastAsia"/>
          <w:color w:val="auto"/>
          <w:lang w:val="en-US" w:eastAsia="zh-CN"/>
        </w:rPr>
        <w:t>设计依据</w:t>
      </w:r>
    </w:p>
    <w:p>
      <w:pPr>
        <w:bidi w:val="0"/>
        <w:rPr>
          <w:rFonts w:hint="eastAsia"/>
          <w:color w:val="auto"/>
          <w:lang w:val="en-US" w:eastAsia="zh-CN"/>
        </w:rPr>
      </w:pPr>
      <w:r>
        <w:rPr>
          <w:rFonts w:hint="eastAsia"/>
          <w:color w:val="auto"/>
          <w:lang w:val="en-US" w:eastAsia="zh-CN"/>
        </w:rPr>
        <w:t>1、建设单位提供的用地红线图；</w:t>
      </w:r>
    </w:p>
    <w:p>
      <w:pPr>
        <w:bidi w:val="0"/>
        <w:rPr>
          <w:rFonts w:hint="eastAsia"/>
          <w:color w:val="auto"/>
          <w:lang w:val="en-US" w:eastAsia="zh-CN"/>
        </w:rPr>
      </w:pPr>
      <w:r>
        <w:rPr>
          <w:rFonts w:hint="eastAsia"/>
          <w:color w:val="auto"/>
          <w:lang w:val="en-US" w:eastAsia="zh-CN"/>
        </w:rPr>
        <w:t>2、国家现行的相关政策、法规、标准、规范。</w:t>
      </w:r>
    </w:p>
    <w:p>
      <w:pPr>
        <w:bidi w:val="0"/>
        <w:rPr>
          <w:rFonts w:hint="eastAsia"/>
          <w:color w:val="auto"/>
        </w:rPr>
      </w:pPr>
      <w:r>
        <w:rPr>
          <w:rFonts w:hint="eastAsia"/>
          <w:color w:val="auto"/>
        </w:rPr>
        <w:t>《全国民用建筑工程设计技术措施、规划、建筑》（2009年版）；</w:t>
      </w:r>
    </w:p>
    <w:p>
      <w:pPr>
        <w:bidi w:val="0"/>
        <w:rPr>
          <w:rFonts w:hint="eastAsia"/>
          <w:color w:val="auto"/>
        </w:rPr>
      </w:pPr>
      <w:r>
        <w:rPr>
          <w:rFonts w:hint="eastAsia"/>
          <w:color w:val="auto"/>
        </w:rPr>
        <w:t>《建筑设计防火规范》（GB50016-2018）；</w:t>
      </w:r>
    </w:p>
    <w:p>
      <w:pPr>
        <w:bidi w:val="0"/>
        <w:rPr>
          <w:rFonts w:hint="eastAsia" w:eastAsia="仿宋"/>
          <w:color w:val="auto"/>
          <w:lang w:eastAsia="zh-CN"/>
        </w:rPr>
      </w:pPr>
      <w:r>
        <w:rPr>
          <w:rFonts w:hint="eastAsia"/>
          <w:color w:val="auto"/>
        </w:rPr>
        <w:t>《建筑防火通用规范》</w:t>
      </w:r>
      <w:r>
        <w:rPr>
          <w:rFonts w:hint="eastAsia"/>
          <w:color w:val="auto"/>
          <w:lang w:val="en-US" w:eastAsia="zh-CN"/>
        </w:rPr>
        <w:t>（</w:t>
      </w:r>
      <w:r>
        <w:rPr>
          <w:rFonts w:hint="eastAsia"/>
          <w:color w:val="auto"/>
        </w:rPr>
        <w:t>GB55037-2022</w:t>
      </w:r>
      <w:r>
        <w:rPr>
          <w:rFonts w:hint="eastAsia"/>
          <w:color w:val="auto"/>
          <w:lang w:eastAsia="zh-CN"/>
        </w:rPr>
        <w:t>）；</w:t>
      </w:r>
    </w:p>
    <w:p>
      <w:pPr>
        <w:bidi w:val="0"/>
        <w:rPr>
          <w:rFonts w:hint="eastAsia"/>
          <w:color w:val="auto"/>
        </w:rPr>
      </w:pPr>
      <w:r>
        <w:rPr>
          <w:rFonts w:hint="eastAsia"/>
          <w:color w:val="auto"/>
        </w:rPr>
        <w:t>《民用建筑设计统一标准》（GB50352-2019）；</w:t>
      </w:r>
    </w:p>
    <w:p>
      <w:pPr>
        <w:bidi w:val="0"/>
        <w:rPr>
          <w:rFonts w:hint="eastAsia" w:eastAsia="仿宋"/>
          <w:color w:val="auto"/>
          <w:lang w:eastAsia="zh-CN"/>
        </w:rPr>
      </w:pPr>
      <w:r>
        <w:rPr>
          <w:rFonts w:hint="eastAsia"/>
          <w:color w:val="auto"/>
        </w:rPr>
        <w:t>《民用建筑通用规范》</w:t>
      </w:r>
      <w:r>
        <w:rPr>
          <w:rFonts w:hint="eastAsia"/>
          <w:color w:val="auto"/>
          <w:lang w:eastAsia="zh-CN"/>
        </w:rPr>
        <w:t>（</w:t>
      </w:r>
      <w:r>
        <w:rPr>
          <w:rFonts w:hint="eastAsia"/>
          <w:color w:val="auto"/>
        </w:rPr>
        <w:t>GB55031-2022</w:t>
      </w:r>
      <w:r>
        <w:rPr>
          <w:rFonts w:hint="eastAsia"/>
          <w:color w:val="auto"/>
          <w:lang w:eastAsia="zh-CN"/>
        </w:rPr>
        <w:t>）</w:t>
      </w:r>
    </w:p>
    <w:p>
      <w:pPr>
        <w:bidi w:val="0"/>
        <w:rPr>
          <w:rFonts w:hint="eastAsia"/>
          <w:color w:val="auto"/>
        </w:rPr>
      </w:pPr>
      <w:r>
        <w:rPr>
          <w:rFonts w:hint="eastAsia"/>
          <w:color w:val="auto"/>
        </w:rPr>
        <w:t>《无障碍设计规范》（GB50763-2012）；</w:t>
      </w:r>
    </w:p>
    <w:p>
      <w:pPr>
        <w:bidi w:val="0"/>
        <w:rPr>
          <w:rFonts w:hint="eastAsia"/>
          <w:color w:val="auto"/>
          <w:lang w:eastAsia="zh-CN"/>
        </w:rPr>
      </w:pPr>
      <w:r>
        <w:rPr>
          <w:rFonts w:hint="eastAsia"/>
          <w:color w:val="auto"/>
        </w:rPr>
        <w:t>《建筑与市政工程无障碍通用规范》</w:t>
      </w:r>
      <w:r>
        <w:rPr>
          <w:rFonts w:hint="eastAsia"/>
          <w:color w:val="auto"/>
          <w:lang w:eastAsia="zh-CN"/>
        </w:rPr>
        <w:t>（</w:t>
      </w:r>
      <w:r>
        <w:rPr>
          <w:rFonts w:hint="eastAsia"/>
          <w:color w:val="auto"/>
        </w:rPr>
        <w:t>GB55019-2021</w:t>
      </w:r>
      <w:r>
        <w:rPr>
          <w:rFonts w:hint="eastAsia"/>
          <w:color w:val="auto"/>
          <w:lang w:eastAsia="zh-CN"/>
        </w:rPr>
        <w:t>）</w:t>
      </w:r>
    </w:p>
    <w:p>
      <w:pPr>
        <w:bidi w:val="0"/>
        <w:rPr>
          <w:rFonts w:hint="eastAsia"/>
          <w:color w:val="auto"/>
          <w:lang w:eastAsia="zh-CN"/>
        </w:rPr>
      </w:pPr>
      <w:r>
        <w:rPr>
          <w:rFonts w:hint="eastAsia"/>
          <w:color w:val="auto"/>
          <w:lang w:eastAsia="zh-CN"/>
        </w:rPr>
        <w:t>《建筑与市政工程防水通用规范》GB55030-2022</w:t>
      </w:r>
    </w:p>
    <w:p>
      <w:pPr>
        <w:bidi w:val="0"/>
        <w:rPr>
          <w:rFonts w:hint="eastAsia"/>
          <w:color w:val="auto"/>
        </w:rPr>
      </w:pPr>
      <w:r>
        <w:rPr>
          <w:rFonts w:hint="eastAsia"/>
          <w:color w:val="auto"/>
        </w:rPr>
        <w:t>《民用建筑隔声设计规范》（GB50118-2010）；</w:t>
      </w:r>
    </w:p>
    <w:p>
      <w:pPr>
        <w:bidi w:val="0"/>
        <w:rPr>
          <w:rFonts w:hint="eastAsia"/>
          <w:color w:val="auto"/>
        </w:rPr>
      </w:pPr>
      <w:r>
        <w:rPr>
          <w:rFonts w:hint="eastAsia"/>
          <w:color w:val="auto"/>
        </w:rPr>
        <w:t>《公共建筑节能设计标准》（GB50189-2015）；</w:t>
      </w:r>
    </w:p>
    <w:p>
      <w:pPr>
        <w:bidi w:val="0"/>
        <w:rPr>
          <w:rFonts w:hint="eastAsia"/>
          <w:color w:val="auto"/>
        </w:rPr>
      </w:pPr>
      <w:r>
        <w:rPr>
          <w:rFonts w:hint="eastAsia"/>
          <w:color w:val="auto"/>
        </w:rPr>
        <w:t>《汽车库、修车库、停车场设计防火规范》（GB50067-2014）；</w:t>
      </w:r>
    </w:p>
    <w:p>
      <w:pPr>
        <w:bidi w:val="0"/>
        <w:rPr>
          <w:rFonts w:hint="eastAsia"/>
          <w:color w:val="auto"/>
        </w:rPr>
      </w:pPr>
      <w:r>
        <w:rPr>
          <w:rFonts w:hint="eastAsia"/>
          <w:color w:val="auto"/>
        </w:rPr>
        <w:t>《车库建筑设计规范》（JGJ100-2015）；</w:t>
      </w:r>
    </w:p>
    <w:p>
      <w:pPr>
        <w:bidi w:val="0"/>
        <w:rPr>
          <w:rFonts w:hint="eastAsia"/>
          <w:color w:val="auto"/>
        </w:rPr>
      </w:pPr>
      <w:r>
        <w:rPr>
          <w:rFonts w:hint="eastAsia"/>
          <w:color w:val="auto"/>
        </w:rPr>
        <w:t>《岳阳市城市规划区修建性详细规划和建设工程设计方案管理若干规定》2016；</w:t>
      </w:r>
    </w:p>
    <w:p>
      <w:pPr>
        <w:bidi w:val="0"/>
        <w:rPr>
          <w:rFonts w:hint="eastAsia"/>
          <w:color w:val="auto"/>
        </w:rPr>
      </w:pPr>
      <w:r>
        <w:rPr>
          <w:rFonts w:hint="eastAsia"/>
          <w:color w:val="auto"/>
        </w:rPr>
        <w:t>《岳阳市工业地产管理办法（试行）2019》</w:t>
      </w:r>
    </w:p>
    <w:p>
      <w:pPr>
        <w:pStyle w:val="3"/>
        <w:bidi w:val="0"/>
        <w:rPr>
          <w:color w:val="auto"/>
        </w:rPr>
      </w:pPr>
      <w:r>
        <w:rPr>
          <w:rFonts w:hint="eastAsia"/>
          <w:color w:val="auto"/>
          <w:lang w:val="en-US" w:eastAsia="zh-CN"/>
        </w:rPr>
        <w:t>项目建设条件</w:t>
      </w:r>
    </w:p>
    <w:p>
      <w:pPr>
        <w:pStyle w:val="4"/>
        <w:bidi w:val="0"/>
        <w:rPr>
          <w:rFonts w:hint="default"/>
          <w:color w:val="auto"/>
          <w:lang w:val="en-US" w:eastAsia="zh-CN"/>
        </w:rPr>
      </w:pPr>
      <w:r>
        <w:rPr>
          <w:rFonts w:hint="eastAsia"/>
          <w:color w:val="auto"/>
          <w:lang w:val="en-US" w:eastAsia="zh-CN"/>
        </w:rPr>
        <w:t>地理位置</w:t>
      </w:r>
    </w:p>
    <w:p>
      <w:pPr>
        <w:bidi w:val="0"/>
        <w:rPr>
          <w:rFonts w:hint="eastAsia"/>
          <w:color w:val="auto"/>
          <w:lang w:val="en-US" w:eastAsia="zh-CN"/>
        </w:rPr>
      </w:pPr>
      <w:r>
        <w:rPr>
          <w:rFonts w:hint="eastAsia"/>
          <w:color w:val="auto"/>
          <w:lang w:val="en-US" w:eastAsia="zh-CN"/>
        </w:rPr>
        <w:t>项目建设地点位于</w:t>
      </w:r>
      <w:r>
        <w:rPr>
          <w:rFonts w:hint="eastAsia"/>
          <w:color w:val="auto"/>
        </w:rPr>
        <w:t>汨罗市新市镇新阳社区，清云路与天立路交汇处东南侧地块</w:t>
      </w:r>
      <w:r>
        <w:rPr>
          <w:rFonts w:hint="eastAsia"/>
          <w:color w:val="auto"/>
          <w:lang w:eastAsia="zh-CN"/>
        </w:rPr>
        <w:t>，</w:t>
      </w:r>
      <w:r>
        <w:rPr>
          <w:rFonts w:hint="eastAsia"/>
          <w:color w:val="auto"/>
        </w:rPr>
        <w:t>毗邻平益高速，交通便利，利于产业高速发展。</w:t>
      </w:r>
    </w:p>
    <w:p>
      <w:pPr>
        <w:bidi w:val="0"/>
        <w:rPr>
          <w:color w:val="auto"/>
        </w:rPr>
      </w:pPr>
      <w:r>
        <w:rPr>
          <w:rFonts w:hint="eastAsia"/>
          <w:color w:val="auto"/>
        </w:rPr>
        <w:t>汨罗，简称罗城，隶属于岳阳市，处湖南省东北部，紧靠洞庭湖东畔、湘江下游。汨罗市东部、东南部分别与长沙市长沙县、望城区接壤，西邻湘阴县和沅江县，北接岳阳县，东北与平江县交界。因境内有汨水、罗水会合，其下游名汨罗江，因以名市，是“中国龙舟名城”。总面积1670平方公里，汨罗属幕阜山脉与洞庭湖平原的过渡地带，西临洞庭湖。地处东经112°51′-113°27′，北纬28°28′-29°27′之间。地势由东南向西北倾斜。汨罗市东与平江相靠，南与长沙、望城两县相携，西与湘阴县、沅江市接壤，北同岳阳县毗邻。最东处为八景乡山阳村的山阳寨，最西处是芦苇场的石湖包，最南端系高家坊镇鹿峰村的陈家湾，最北端是磊石乡汨岳村的汨岳界。南北相距66.75公里，东西相距62.5公里，全境周长301.84公里，总面积1670平方公里，汨罗市建城区面积12平方公里。</w:t>
      </w:r>
    </w:p>
    <w:p>
      <w:pPr>
        <w:pStyle w:val="4"/>
        <w:bidi w:val="0"/>
        <w:rPr>
          <w:rFonts w:hint="default"/>
          <w:color w:val="auto"/>
          <w:lang w:val="en-US" w:eastAsia="zh-CN"/>
        </w:rPr>
      </w:pPr>
      <w:r>
        <w:rPr>
          <w:rFonts w:hint="eastAsia"/>
          <w:color w:val="auto"/>
        </w:rPr>
        <w:t>地形地貌</w:t>
      </w:r>
    </w:p>
    <w:p>
      <w:pPr>
        <w:bidi w:val="0"/>
        <w:rPr>
          <w:rFonts w:hint="default"/>
          <w:color w:val="auto"/>
          <w:lang w:val="en-US" w:eastAsia="zh-CN"/>
        </w:rPr>
      </w:pPr>
      <w:r>
        <w:rPr>
          <w:rFonts w:hint="eastAsia"/>
          <w:color w:val="auto"/>
          <w:lang w:val="en-US" w:eastAsia="zh-CN"/>
        </w:rPr>
        <w:t>1、</w:t>
      </w:r>
      <w:r>
        <w:rPr>
          <w:rFonts w:hint="eastAsia"/>
          <w:color w:val="auto"/>
        </w:rPr>
        <w:t>地形地貌</w:t>
      </w:r>
    </w:p>
    <w:p>
      <w:pPr>
        <w:bidi w:val="0"/>
        <w:rPr>
          <w:color w:val="auto"/>
        </w:rPr>
      </w:pPr>
      <w:r>
        <w:rPr>
          <w:rFonts w:hint="eastAsia"/>
          <w:color w:val="auto"/>
        </w:rPr>
        <w:t>汨罗地势东南部高、西北部低，由山地向滨湖平原呈梯降过渡，头枕幕阜，脚踏洞庭。东南部峰岭起伏，连绵成脉，形成天然屏障。其中，东有幕阜山余脉智峰山，群峰拱岱，岭峦盘结，沟谷回环，犬牙交错，地形险峻。山区还有南岭、米家寨、老山尖、苦岭、乌石尖、冷水尖、从毛山、汉峰山等山峰。南部有飘峰山、神鼎山、隐居山、玉池山、湖鼻山、密岩山等。</w:t>
      </w:r>
    </w:p>
    <w:p>
      <w:pPr>
        <w:bidi w:val="0"/>
        <w:rPr>
          <w:rFonts w:hint="eastAsia"/>
          <w:color w:val="auto"/>
        </w:rPr>
      </w:pPr>
      <w:r>
        <w:rPr>
          <w:rFonts w:hint="eastAsia"/>
          <w:color w:val="auto"/>
        </w:rPr>
        <w:t>汨罗的丘陵多处于岗地与低山过渡地带或山地余脉末梢。海拔一般在110-250米之间。岗地是汨罗分布最广的地貌类型，面积613.51平方公里，占汨罗市总面积39.28%。汨罗的平原位于汨罗江及其支流溪谷两侧，由中部向西北部呈扇形展布敞开，地表物质由河湖的沉积作用形成深厚的冲积物或冲积湖组成。海拔绝大部分在50米以下，平原面积296.01平方公里，平原土质肥沃。</w:t>
      </w:r>
    </w:p>
    <w:p>
      <w:pPr>
        <w:bidi w:val="0"/>
        <w:rPr>
          <w:color w:val="auto"/>
        </w:rPr>
      </w:pPr>
      <w:r>
        <w:rPr>
          <w:rFonts w:hint="eastAsia"/>
          <w:color w:val="auto"/>
          <w:lang w:val="en-US" w:eastAsia="zh-CN"/>
        </w:rPr>
        <w:t>2、</w:t>
      </w:r>
      <w:r>
        <w:rPr>
          <w:rFonts w:hint="eastAsia"/>
          <w:color w:val="auto"/>
        </w:rPr>
        <w:t>水文</w:t>
      </w:r>
    </w:p>
    <w:p>
      <w:pPr>
        <w:bidi w:val="0"/>
        <w:rPr>
          <w:rFonts w:hint="eastAsia"/>
          <w:color w:val="auto"/>
        </w:rPr>
      </w:pPr>
      <w:r>
        <w:rPr>
          <w:rFonts w:hint="eastAsia"/>
          <w:color w:val="auto"/>
        </w:rPr>
        <w:t>汨罗有湘江段及流长4公里、流域面积6.5平方公里以上的河流44条。其中，流域面积在100平方公里以上的河流10条。属于洞庭湖水系的有汨罗江，是洞庭湖水系中仅次于湘、资、沅、澧的第五大水系</w:t>
      </w:r>
      <w:r>
        <w:rPr>
          <w:rFonts w:hint="eastAsia"/>
          <w:color w:val="auto"/>
          <w:lang w:eastAsia="zh-CN"/>
        </w:rPr>
        <w:t>。</w:t>
      </w:r>
      <w:r>
        <w:rPr>
          <w:rFonts w:hint="eastAsia"/>
          <w:color w:val="auto"/>
        </w:rPr>
        <w:t>汨罗江的上游称汨水。汨水发源于江西修水县黄龙山的梨树竭，流经修水的官田桥、龙门厂，平江的长寿街、嘉义、三市、浯口，汨罗的长乐、新市，在大洲湾与罗水汇合。汨罗江流长253.2公里，流域面积5543平方公里。罗水因源出巴陵罗内而得名。罗水流域跨岳阳、平江、汨罗三县市。罗水干流长88公里，流域面积595平方公里。汨罗多年平均降水量1345.4毫米，降水总量21.31亿立方米，地表水资源总量44.65亿立方米，尚可利用的地表水资源为28.43亿立方米。</w:t>
      </w:r>
    </w:p>
    <w:p>
      <w:pPr>
        <w:bidi w:val="0"/>
        <w:rPr>
          <w:rFonts w:hint="default"/>
          <w:color w:val="auto"/>
          <w:lang w:val="en-US" w:eastAsia="zh-CN"/>
        </w:rPr>
      </w:pPr>
      <w:r>
        <w:rPr>
          <w:rFonts w:hint="eastAsia"/>
          <w:color w:val="auto"/>
          <w:lang w:val="en-US" w:eastAsia="zh-CN"/>
        </w:rPr>
        <w:t>3、</w:t>
      </w:r>
      <w:r>
        <w:rPr>
          <w:rFonts w:hint="eastAsia"/>
          <w:color w:val="auto"/>
        </w:rPr>
        <w:t>土壤</w:t>
      </w:r>
    </w:p>
    <w:p>
      <w:pPr>
        <w:bidi w:val="0"/>
        <w:rPr>
          <w:color w:val="auto"/>
        </w:rPr>
      </w:pPr>
      <w:r>
        <w:rPr>
          <w:rFonts w:hint="eastAsia"/>
          <w:color w:val="auto"/>
        </w:rPr>
        <w:t>汨罗土壤的成土母质有第四纪松散堆积物、花岗岩母质、板页岩母质及云母片岩母质、红岩母质4种，不同母质形成不同类型的土壤。土壤类型有水稻土45.60万亩，红（黄）壤94.57万亩，紫色土11.57万亩，潮土2.54万亩。土壤分布为南部红（黄）壤水稻土区、中北部红壤水稻土区、汨罗江流域潮土及水稻土区、东北部紫色土、红壤水稻土区。</w:t>
      </w:r>
    </w:p>
    <w:p>
      <w:pPr>
        <w:bidi w:val="0"/>
        <w:rPr>
          <w:color w:val="auto"/>
        </w:rPr>
      </w:pPr>
      <w:r>
        <w:rPr>
          <w:rFonts w:hint="eastAsia"/>
          <w:color w:val="auto"/>
          <w:lang w:val="en-US" w:eastAsia="zh-CN"/>
        </w:rPr>
        <w:t>3、</w:t>
      </w:r>
      <w:r>
        <w:rPr>
          <w:rFonts w:hint="eastAsia"/>
          <w:color w:val="auto"/>
        </w:rPr>
        <w:t>气候</w:t>
      </w:r>
    </w:p>
    <w:p>
      <w:pPr>
        <w:bidi w:val="0"/>
        <w:rPr>
          <w:rFonts w:hint="eastAsia"/>
          <w:color w:val="auto"/>
        </w:rPr>
      </w:pPr>
      <w:r>
        <w:rPr>
          <w:rFonts w:hint="eastAsia"/>
          <w:color w:val="auto"/>
        </w:rPr>
        <w:t>亚热带湿润性气候，四季分明。累计年平均气温17℃，以1月、4月、7月、10月分别代表冬、春、夏、秋四季，其平均气温分别为4.4℃、17.0℃、28.9℃、18.1℃。全年气候是冬冷、春暖、夏热、秋凉。热量充足，雨水集中。累计年平均日照时数为1650.1小时，日照百分率为37%。其中71.6%集中在主要农作物生长的7-10月在全国属多雨地区，65.6%的降水和70-85%的总辐射集中在4-10月，光、热、水三者配合较好，适宜于双季稻生长成熟和亚热带经济林木生长，为农业生产的发展提供良好的气候环境。</w:t>
      </w:r>
    </w:p>
    <w:p>
      <w:pPr>
        <w:pStyle w:val="4"/>
        <w:bidi w:val="0"/>
        <w:rPr>
          <w:color w:val="auto"/>
          <w:lang w:val="en-US" w:eastAsia="zh-CN"/>
        </w:rPr>
      </w:pPr>
      <w:bookmarkStart w:id="0" w:name="_Toc22945"/>
      <w:bookmarkStart w:id="1" w:name="_Toc13966"/>
      <w:r>
        <w:rPr>
          <w:rFonts w:hint="eastAsia"/>
          <w:color w:val="auto"/>
          <w:lang w:val="en-US" w:eastAsia="zh-CN"/>
        </w:rPr>
        <w:t>交通区位</w:t>
      </w:r>
      <w:bookmarkEnd w:id="0"/>
      <w:bookmarkEnd w:id="1"/>
    </w:p>
    <w:p>
      <w:pPr>
        <w:bidi w:val="0"/>
        <w:rPr>
          <w:color w:val="auto"/>
        </w:rPr>
      </w:pPr>
      <w:r>
        <w:rPr>
          <w:rFonts w:hint="eastAsia"/>
          <w:color w:val="auto"/>
        </w:rPr>
        <w:t>汨罗地处长株潭两型综合实验区和洞庭湖生态经济区重叠交叉发展区域，在长沙市与岳阳市的中点，位于“长株潭一小时经济圈”内，是环洞庭湖经济圈中的中心城市之一。</w:t>
      </w:r>
    </w:p>
    <w:p>
      <w:pPr>
        <w:bidi w:val="0"/>
        <w:rPr>
          <w:color w:val="auto"/>
        </w:rPr>
      </w:pPr>
      <w:r>
        <w:rPr>
          <w:rFonts w:hint="eastAsia"/>
          <w:color w:val="auto"/>
        </w:rPr>
        <w:t>汨罗市交通条件优越，京广铁路、京广高铁、107国道、京港澳高速公路、许广高速纵贯南北，湘江、沪昆高速、平益高速、536国道横跨东西。城区与107国道、京珠高速公路均有专门连接线，距107国道6.6公里，距京珠高速18公里。城区内建有汨罗火车站和高铁汨罗东站，从汨罗东站到长沙、岳阳仅有19分钟高铁车程，45分钟可抵达长沙黄花国际机场、岳阳三荷机场，离长江八大良港之一的城陵矶港仅60公里，水公铁空多式联运基本形成。</w:t>
      </w:r>
    </w:p>
    <w:p>
      <w:pPr>
        <w:pStyle w:val="4"/>
        <w:bidi w:val="0"/>
        <w:rPr>
          <w:rFonts w:hint="default"/>
          <w:color w:val="auto"/>
          <w:lang w:val="en-US" w:eastAsia="zh-CN"/>
        </w:rPr>
      </w:pPr>
      <w:r>
        <w:rPr>
          <w:rFonts w:hint="eastAsia"/>
          <w:color w:val="auto"/>
        </w:rPr>
        <w:t>经济发展</w:t>
      </w:r>
    </w:p>
    <w:p>
      <w:pPr>
        <w:bidi w:val="0"/>
        <w:rPr>
          <w:rFonts w:hint="default"/>
          <w:color w:val="auto"/>
          <w:lang w:val="en-US" w:eastAsia="zh-CN"/>
        </w:rPr>
      </w:pPr>
      <w:r>
        <w:rPr>
          <w:rFonts w:hint="default"/>
          <w:color w:val="auto"/>
          <w:lang w:val="en-US" w:eastAsia="zh-CN"/>
        </w:rPr>
        <w:t>1、全市经济发展状况</w:t>
      </w:r>
    </w:p>
    <w:p>
      <w:pPr>
        <w:bidi w:val="0"/>
        <w:rPr>
          <w:rFonts w:hint="default"/>
          <w:color w:val="auto"/>
          <w:lang w:val="en-US" w:eastAsia="zh-CN"/>
        </w:rPr>
      </w:pPr>
      <w:r>
        <w:rPr>
          <w:rFonts w:hint="default"/>
          <w:color w:val="auto"/>
          <w:lang w:val="en-US" w:eastAsia="zh-CN"/>
        </w:rPr>
        <w:t>2022年，全市完成地区生产总值490.7亿元，同比增长6.0%。其中第一产业增加值50.8亿元，增长3.8%;第二产业增加值209.9亿元，增长7.1%;第三产业增加值230.0亿元，增长4.1%。三产业结构比为10.4：42.8：46.8。按常住人口计算，人均GDP达到88415.6元，比去年增加5495.6元，增长6.6%。高新技术产业增加值占地区生产总值比重达到35.0%。</w:t>
      </w:r>
    </w:p>
    <w:p>
      <w:pPr>
        <w:bidi w:val="0"/>
        <w:rPr>
          <w:rFonts w:hint="default"/>
          <w:color w:val="auto"/>
          <w:lang w:val="en-US" w:eastAsia="zh-CN"/>
        </w:rPr>
      </w:pPr>
      <w:r>
        <w:rPr>
          <w:rFonts w:hint="default"/>
          <w:color w:val="auto"/>
          <w:lang w:val="en-US" w:eastAsia="zh-CN"/>
        </w:rPr>
        <w:t>2022年固定资产投资增长14.6%；分领域看，工业投资增长12.9%，房地产开发投资增长4.1%。分产业看，产业投资增长21.6%，民间投资增长25.9%。高技术产业投资增长81.3%。</w:t>
      </w:r>
    </w:p>
    <w:p>
      <w:pPr>
        <w:bidi w:val="0"/>
        <w:rPr>
          <w:rFonts w:hint="default"/>
          <w:color w:val="auto"/>
          <w:lang w:val="en-US" w:eastAsia="zh-CN"/>
        </w:rPr>
      </w:pPr>
      <w:r>
        <w:rPr>
          <w:rFonts w:hint="default"/>
          <w:color w:val="auto"/>
          <w:lang w:val="en-US" w:eastAsia="zh-CN"/>
        </w:rPr>
        <w:t>2、园区经济发展状况</w:t>
      </w:r>
    </w:p>
    <w:p>
      <w:pPr>
        <w:bidi w:val="0"/>
        <w:rPr>
          <w:rFonts w:hint="default"/>
          <w:color w:val="auto"/>
          <w:lang w:val="en-US" w:eastAsia="zh-CN"/>
        </w:rPr>
      </w:pPr>
      <w:r>
        <w:rPr>
          <w:rFonts w:hint="default"/>
          <w:color w:val="auto"/>
          <w:lang w:val="en-US" w:eastAsia="zh-CN"/>
        </w:rPr>
        <w:t>2020年园区经济运行稳中有进，全年实现技工贸总收入705亿元，同比增长20.35%；实现高新技术产业增加值106.06亿元，同比增长27.92%；完成固定资产投资100.5亿元，同比增长79.47%；实现工业税收入库10.5亿元，形成地方可用财力4.01亿元。在岳阳市14个产业园区高质量发展绩效考核中名列第一，是岳阳市重点打造的4个千亿园区之一和湖南省高质量发展园区。</w:t>
      </w:r>
    </w:p>
    <w:p>
      <w:pPr>
        <w:bidi w:val="0"/>
        <w:rPr>
          <w:rFonts w:hint="default"/>
          <w:color w:val="auto"/>
          <w:lang w:val="en-US" w:eastAsia="zh-CN"/>
        </w:rPr>
      </w:pPr>
      <w:r>
        <w:rPr>
          <w:rFonts w:hint="default"/>
          <w:color w:val="auto"/>
          <w:lang w:val="en-US" w:eastAsia="zh-CN"/>
        </w:rPr>
        <w:t>按照《汨罗市推进工业产业链建设、打造千亿园区三年（2019～2021）行动实施方案》要求，2020年园区将唱响循环经济品牌，聚焦有色金属精深加工、高分子材料、智能电子信息“三大产业链”建设，围绕世界500强、中国500强、民营500强等顶级企业加强合作。2020年9月29日，世界五百强排名91位的世界铜王深圳正威集团正式落地开工建设，该项目总投资100.5亿元，在汨罗园区建设投资20亿元的互联网+再生资源仓储物流交割基地项目和投资80.5亿元的再生资源及新材料项目，项目达产后预计年总产值325亿元，实现税收收入5.4亿元。同时，围绕高铁新城整体开发，园区全面启动和加速实施再生材料园、工业水厂、职业教育产教融合、二医院、芙蓉学校、创新创业示范基地、高铁站停车场等一批基础设施和经营性项目，经过两到三年的发展，园区将全力向千亿园区和国家级高新区发起冲击。</w:t>
      </w:r>
    </w:p>
    <w:p>
      <w:pPr>
        <w:pStyle w:val="3"/>
        <w:bidi w:val="0"/>
        <w:rPr>
          <w:rFonts w:hint="eastAsia"/>
          <w:color w:val="auto"/>
        </w:rPr>
      </w:pPr>
      <w:r>
        <w:rPr>
          <w:rFonts w:hint="eastAsia"/>
          <w:color w:val="auto"/>
        </w:rPr>
        <w:t>工程地质条件：</w:t>
      </w:r>
    </w:p>
    <w:p>
      <w:pPr>
        <w:bidi w:val="0"/>
        <w:rPr>
          <w:rFonts w:hint="eastAsia"/>
          <w:color w:val="auto"/>
        </w:rPr>
      </w:pPr>
      <w:r>
        <w:rPr>
          <w:rFonts w:hint="eastAsia"/>
          <w:color w:val="auto"/>
        </w:rPr>
        <w:t>项目周边场地内现状未见有泥石流、滑坡、崩塌、活动断裂、溶洞等不良地质作用及地质灾害，且也未见埋藏的河道、沟渠、保护性墓穴、防空洞等对工程不利的地下埋藏物，也不存在液化的砂土和城震陷软土，场地内的基岩未发现有洞穴、软弱夹层。拟建地址现状基本稳定，适宜建筑物的建设。根据国家地震局有关文件及地震烈度区划图《中国地震烈度区划图》（GB18306-2015)和《湖南省地震烈度分区图》等资料可知，本项目场地的基本地震烈度为</w:t>
      </w:r>
      <w:r>
        <w:rPr>
          <w:color w:val="auto"/>
        </w:rPr>
        <w:t>6</w:t>
      </w:r>
      <w:r>
        <w:rPr>
          <w:rFonts w:hint="eastAsia"/>
          <w:color w:val="auto"/>
        </w:rPr>
        <w:t>度区，故根据国家标准《建筑抗震设计规范》（</w:t>
      </w:r>
      <w:r>
        <w:rPr>
          <w:color w:val="auto"/>
        </w:rPr>
        <w:t>GB50011-2010</w:t>
      </w:r>
      <w:r>
        <w:rPr>
          <w:rFonts w:hint="eastAsia"/>
          <w:color w:val="auto"/>
        </w:rPr>
        <w:t>）的规定，建筑物按</w:t>
      </w:r>
      <w:r>
        <w:rPr>
          <w:color w:val="auto"/>
        </w:rPr>
        <w:t>6</w:t>
      </w:r>
      <w:r>
        <w:rPr>
          <w:rFonts w:hint="eastAsia"/>
          <w:color w:val="auto"/>
        </w:rPr>
        <w:t>度标准抗震设防。项目进行施工图设计时，应以场地实际地质勘探资料为准。</w:t>
      </w:r>
    </w:p>
    <w:p>
      <w:pPr>
        <w:pStyle w:val="3"/>
        <w:bidi w:val="0"/>
        <w:rPr>
          <w:rFonts w:hint="eastAsia"/>
          <w:color w:val="auto"/>
        </w:rPr>
      </w:pPr>
      <w:r>
        <w:rPr>
          <w:rFonts w:hint="eastAsia"/>
          <w:color w:val="auto"/>
        </w:rPr>
        <w:t>区域性规划：</w:t>
      </w:r>
    </w:p>
    <w:p>
      <w:pPr>
        <w:bidi w:val="0"/>
        <w:rPr>
          <w:rFonts w:hint="eastAsia"/>
          <w:color w:val="auto"/>
          <w:lang w:eastAsia="zh-CN"/>
        </w:rPr>
      </w:pPr>
      <w:r>
        <w:rPr>
          <w:rFonts w:hint="eastAsia"/>
          <w:color w:val="auto"/>
        </w:rPr>
        <w:t>根据《汨罗县总体规划》，该项目用地性质为工业用地，整体用地性质较为简单，易于后期建设开发，满足规划条件市政配套设施条件：</w:t>
      </w:r>
    </w:p>
    <w:p>
      <w:pPr>
        <w:bidi w:val="0"/>
        <w:rPr>
          <w:rFonts w:hint="eastAsia"/>
          <w:color w:val="auto"/>
          <w:lang w:eastAsia="zh-CN"/>
        </w:rPr>
      </w:pPr>
      <w:r>
        <w:rPr>
          <w:rFonts w:hint="eastAsia"/>
          <w:color w:val="auto"/>
        </w:rPr>
        <w:t>1、交通：本项目建设地点位于汨罗市新市镇新阳社区，在湖南葛天再生资源产业园侧，清云路与天立路交汇处东南侧地块，距汨罗东站3公路，距高速入口约2公里，交通环境优越。</w:t>
      </w:r>
    </w:p>
    <w:p>
      <w:pPr>
        <w:bidi w:val="0"/>
        <w:rPr>
          <w:rFonts w:hint="eastAsia"/>
          <w:color w:val="auto"/>
          <w:lang w:eastAsia="zh-CN"/>
        </w:rPr>
      </w:pPr>
      <w:r>
        <w:rPr>
          <w:color w:val="auto"/>
        </w:rPr>
        <w:t>2</w:t>
      </w:r>
      <w:r>
        <w:rPr>
          <w:rFonts w:hint="eastAsia"/>
          <w:color w:val="auto"/>
        </w:rPr>
        <w:t>、供水、供电：本项目现有市政供电设施可满足项目建设的需要。项目雨水与生活排水应分别独立布置排水管道系统，与市政排水管道系统相连。</w:t>
      </w:r>
    </w:p>
    <w:p>
      <w:pPr>
        <w:bidi w:val="0"/>
        <w:rPr>
          <w:rFonts w:hint="eastAsia"/>
          <w:color w:val="auto"/>
          <w:lang w:eastAsia="zh-CN"/>
        </w:rPr>
      </w:pPr>
      <w:r>
        <w:rPr>
          <w:color w:val="auto"/>
        </w:rPr>
        <w:t>3</w:t>
      </w:r>
      <w:r>
        <w:rPr>
          <w:rFonts w:hint="eastAsia"/>
          <w:color w:val="auto"/>
        </w:rPr>
        <w:t>、通信：汨罗县网络容量富足，移动、联通、电信等无线通讯网络已覆盖项目所在区域，可满足项目通讯需要。</w:t>
      </w:r>
    </w:p>
    <w:p>
      <w:pPr>
        <w:bidi w:val="0"/>
        <w:rPr>
          <w:rFonts w:hint="eastAsia"/>
          <w:color w:val="auto"/>
        </w:rPr>
      </w:pPr>
      <w:r>
        <w:rPr>
          <w:color w:val="auto"/>
        </w:rPr>
        <w:t>4</w:t>
      </w:r>
      <w:r>
        <w:rPr>
          <w:rFonts w:hint="eastAsia"/>
          <w:color w:val="auto"/>
        </w:rPr>
        <w:t>、采暖：本项目采用空调进行采暖。</w:t>
      </w:r>
    </w:p>
    <w:p>
      <w:pPr>
        <w:pStyle w:val="3"/>
        <w:bidi w:val="0"/>
        <w:rPr>
          <w:color w:val="auto"/>
        </w:rPr>
      </w:pPr>
      <w:r>
        <w:rPr>
          <w:rFonts w:hint="eastAsia"/>
          <w:color w:val="auto"/>
          <w:lang w:val="en-US" w:eastAsia="zh-CN"/>
        </w:rPr>
        <w:t>设计指导原则</w:t>
      </w:r>
    </w:p>
    <w:p>
      <w:pPr>
        <w:bidi w:val="0"/>
        <w:rPr>
          <w:rFonts w:hint="default"/>
          <w:color w:val="auto"/>
          <w:lang w:val="en-US" w:eastAsia="zh-CN"/>
        </w:rPr>
      </w:pPr>
      <w:r>
        <w:rPr>
          <w:rFonts w:hint="default"/>
          <w:color w:val="auto"/>
          <w:lang w:val="en-US" w:eastAsia="zh-CN"/>
        </w:rPr>
        <w:t>总体上以现代建筑特色为蓝本，融合自然与人和谐的理念，倾力打造高品位、高质量的标准化厂房、办公、商务经济发展引擎区。项目引入先进标准化厂房设计理念，正确处理项目建设和汨罗循环经济产业发展的关系，促使产业经济产生聚合效应，共生和谐发展。详细原则如下：</w:t>
      </w:r>
    </w:p>
    <w:p>
      <w:pPr>
        <w:bidi w:val="0"/>
        <w:rPr>
          <w:rFonts w:hint="default"/>
          <w:color w:val="auto"/>
          <w:lang w:val="en-US" w:eastAsia="zh-CN"/>
        </w:rPr>
      </w:pPr>
      <w:r>
        <w:rPr>
          <w:rFonts w:hint="default"/>
          <w:color w:val="auto"/>
          <w:lang w:val="en-US" w:eastAsia="zh-CN"/>
        </w:rPr>
        <w:t>1、集约土地、科学规划的原则</w:t>
      </w:r>
    </w:p>
    <w:p>
      <w:pPr>
        <w:bidi w:val="0"/>
        <w:rPr>
          <w:rFonts w:hint="default"/>
          <w:color w:val="auto"/>
          <w:lang w:val="en-US" w:eastAsia="zh-CN"/>
        </w:rPr>
      </w:pPr>
      <w:r>
        <w:rPr>
          <w:rFonts w:hint="default"/>
          <w:color w:val="auto"/>
          <w:lang w:val="en-US" w:eastAsia="zh-CN"/>
        </w:rPr>
        <w:t>充分利用土地，集约规划、合理布局，结合地缘优势与经济发展目标科学规划。</w:t>
      </w:r>
    </w:p>
    <w:p>
      <w:pPr>
        <w:bidi w:val="0"/>
        <w:rPr>
          <w:rFonts w:hint="default"/>
          <w:color w:val="auto"/>
          <w:lang w:val="en-US" w:eastAsia="zh-CN"/>
        </w:rPr>
      </w:pPr>
      <w:r>
        <w:rPr>
          <w:rFonts w:hint="default"/>
          <w:color w:val="auto"/>
          <w:lang w:val="en-US" w:eastAsia="zh-CN"/>
        </w:rPr>
        <w:t>2、保护生态环境的原则</w:t>
      </w:r>
    </w:p>
    <w:p>
      <w:pPr>
        <w:bidi w:val="0"/>
        <w:rPr>
          <w:rFonts w:hint="default"/>
          <w:color w:val="auto"/>
          <w:lang w:val="en-US" w:eastAsia="zh-CN"/>
        </w:rPr>
      </w:pPr>
      <w:r>
        <w:rPr>
          <w:rFonts w:hint="default"/>
          <w:color w:val="auto"/>
          <w:lang w:val="en-US" w:eastAsia="zh-CN"/>
        </w:rPr>
        <w:t>利用地形，让建筑楼栋合理布局，充分保持景观的均好性、通风及采光的自然畅通，而且每栋厂房均拥有合适间距，实现开阔视野和捕捉自然美景的目的。</w:t>
      </w:r>
    </w:p>
    <w:p>
      <w:pPr>
        <w:bidi w:val="0"/>
        <w:rPr>
          <w:rFonts w:hint="default"/>
          <w:color w:val="auto"/>
          <w:lang w:val="en-US" w:eastAsia="zh-CN"/>
        </w:rPr>
      </w:pPr>
      <w:r>
        <w:rPr>
          <w:rFonts w:hint="default"/>
          <w:color w:val="auto"/>
          <w:lang w:val="en-US" w:eastAsia="zh-CN"/>
        </w:rPr>
        <w:t>3、突出个性、持续发展的原则</w:t>
      </w:r>
    </w:p>
    <w:p>
      <w:pPr>
        <w:bidi w:val="0"/>
        <w:rPr>
          <w:rFonts w:hint="default"/>
          <w:color w:val="auto"/>
          <w:lang w:val="en-US" w:eastAsia="zh-CN"/>
        </w:rPr>
      </w:pPr>
      <w:r>
        <w:rPr>
          <w:rFonts w:hint="default"/>
          <w:color w:val="auto"/>
          <w:lang w:val="en-US" w:eastAsia="zh-CN"/>
        </w:rPr>
        <w:t>高起点规划，坚持特色开发，与地缘优势及资源有机结合，构筑独特风格的现代工业厂房，实现持续发展。</w:t>
      </w:r>
    </w:p>
    <w:p>
      <w:pPr>
        <w:pStyle w:val="3"/>
        <w:bidi w:val="0"/>
        <w:rPr>
          <w:color w:val="auto"/>
        </w:rPr>
      </w:pPr>
      <w:r>
        <w:rPr>
          <w:rFonts w:hint="default"/>
          <w:color w:val="auto"/>
          <w:lang w:val="en-US" w:eastAsia="zh-CN"/>
        </w:rPr>
        <w:br w:type="column"/>
      </w:r>
      <w:r>
        <w:rPr>
          <w:rFonts w:hint="eastAsia"/>
          <w:color w:val="auto"/>
          <w:lang w:val="en-US" w:eastAsia="zh-CN"/>
        </w:rPr>
        <w:t>技术经济指标</w:t>
      </w:r>
    </w:p>
    <w:p>
      <w:pPr>
        <w:pStyle w:val="17"/>
        <w:bidi w:val="0"/>
        <w:rPr>
          <w:rFonts w:hint="default"/>
          <w:color w:val="auto"/>
          <w:lang w:val="en-US" w:eastAsia="zh-CN"/>
        </w:rPr>
      </w:pPr>
      <w:r>
        <w:rPr>
          <w:rFonts w:hint="eastAsia"/>
          <w:color w:val="auto"/>
          <w:lang w:val="en-US" w:eastAsia="zh-CN"/>
        </w:rPr>
        <w:t>总体技术经济指标表</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2212"/>
        <w:gridCol w:w="1498"/>
        <w:gridCol w:w="2384"/>
        <w:gridCol w:w="2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488" w:type="pct"/>
            <w:noWrap w:val="0"/>
            <w:vAlign w:val="center"/>
          </w:tcPr>
          <w:p>
            <w:pPr>
              <w:pStyle w:val="17"/>
              <w:bidi w:val="0"/>
              <w:rPr>
                <w:color w:val="auto"/>
              </w:rPr>
            </w:pPr>
            <w:r>
              <w:rPr>
                <w:rFonts w:hint="eastAsia"/>
                <w:color w:val="auto"/>
              </w:rPr>
              <w:t>序号</w:t>
            </w:r>
          </w:p>
        </w:tc>
        <w:tc>
          <w:tcPr>
            <w:tcW w:w="1212" w:type="pct"/>
            <w:noWrap w:val="0"/>
            <w:vAlign w:val="center"/>
          </w:tcPr>
          <w:p>
            <w:pPr>
              <w:pStyle w:val="17"/>
              <w:bidi w:val="0"/>
              <w:rPr>
                <w:color w:val="auto"/>
              </w:rPr>
            </w:pPr>
            <w:r>
              <w:rPr>
                <w:rFonts w:hint="eastAsia"/>
                <w:color w:val="auto"/>
              </w:rPr>
              <w:t>建设名称</w:t>
            </w:r>
          </w:p>
        </w:tc>
        <w:tc>
          <w:tcPr>
            <w:tcW w:w="821" w:type="pct"/>
            <w:noWrap w:val="0"/>
            <w:vAlign w:val="center"/>
          </w:tcPr>
          <w:p>
            <w:pPr>
              <w:pStyle w:val="17"/>
              <w:bidi w:val="0"/>
              <w:rPr>
                <w:color w:val="auto"/>
              </w:rPr>
            </w:pPr>
            <w:r>
              <w:rPr>
                <w:rFonts w:hint="eastAsia"/>
                <w:color w:val="auto"/>
              </w:rPr>
              <w:t>单位</w:t>
            </w:r>
          </w:p>
        </w:tc>
        <w:tc>
          <w:tcPr>
            <w:tcW w:w="1306" w:type="pct"/>
            <w:noWrap w:val="0"/>
            <w:vAlign w:val="center"/>
          </w:tcPr>
          <w:p>
            <w:pPr>
              <w:pStyle w:val="17"/>
              <w:bidi w:val="0"/>
              <w:rPr>
                <w:color w:val="auto"/>
              </w:rPr>
            </w:pPr>
            <w:r>
              <w:rPr>
                <w:rFonts w:hint="eastAsia"/>
                <w:color w:val="auto"/>
              </w:rPr>
              <w:t>数值</w:t>
            </w:r>
          </w:p>
        </w:tc>
        <w:tc>
          <w:tcPr>
            <w:tcW w:w="1170" w:type="pct"/>
            <w:noWrap w:val="0"/>
            <w:vAlign w:val="center"/>
          </w:tcPr>
          <w:p>
            <w:pPr>
              <w:pStyle w:val="17"/>
              <w:bidi w:val="0"/>
              <w:rPr>
                <w:color w:val="auto"/>
              </w:rPr>
            </w:pPr>
            <w:r>
              <w:rPr>
                <w:rFonts w:hint="eastAsia"/>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color w:val="auto"/>
              </w:rPr>
              <w:t>1</w:t>
            </w:r>
          </w:p>
        </w:tc>
        <w:tc>
          <w:tcPr>
            <w:tcW w:w="1212" w:type="pct"/>
            <w:noWrap w:val="0"/>
            <w:vAlign w:val="center"/>
          </w:tcPr>
          <w:p>
            <w:pPr>
              <w:pStyle w:val="17"/>
              <w:bidi w:val="0"/>
              <w:rPr>
                <w:color w:val="auto"/>
              </w:rPr>
            </w:pPr>
            <w:r>
              <w:rPr>
                <w:rFonts w:hint="eastAsia"/>
                <w:color w:val="auto"/>
              </w:rPr>
              <w:t>总用地面积</w:t>
            </w:r>
          </w:p>
        </w:tc>
        <w:tc>
          <w:tcPr>
            <w:tcW w:w="821" w:type="pct"/>
            <w:noWrap w:val="0"/>
            <w:vAlign w:val="center"/>
          </w:tcPr>
          <w:p>
            <w:pPr>
              <w:pStyle w:val="17"/>
              <w:bidi w:val="0"/>
              <w:rPr>
                <w:color w:val="auto"/>
              </w:rPr>
            </w:pPr>
            <w:r>
              <w:rPr>
                <w:rFonts w:hint="eastAsia"/>
                <w:color w:val="auto"/>
              </w:rPr>
              <w:t>㎡</w:t>
            </w:r>
          </w:p>
        </w:tc>
        <w:tc>
          <w:tcPr>
            <w:tcW w:w="1306" w:type="pct"/>
            <w:noWrap w:val="0"/>
            <w:vAlign w:val="center"/>
          </w:tcPr>
          <w:p>
            <w:pPr>
              <w:pStyle w:val="17"/>
              <w:bidi w:val="0"/>
              <w:rPr>
                <w:rFonts w:hint="default" w:eastAsia="仿宋"/>
                <w:color w:val="auto"/>
                <w:lang w:val="en-US" w:eastAsia="zh-CN"/>
              </w:rPr>
            </w:pPr>
            <w:r>
              <w:rPr>
                <w:rFonts w:hint="eastAsia"/>
                <w:color w:val="auto"/>
                <w:lang w:val="en-US" w:eastAsia="zh-CN"/>
              </w:rPr>
              <w:t>41754.51</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w:t>
            </w:r>
          </w:p>
        </w:tc>
        <w:tc>
          <w:tcPr>
            <w:tcW w:w="1212" w:type="pct"/>
            <w:noWrap w:val="0"/>
            <w:vAlign w:val="center"/>
          </w:tcPr>
          <w:p>
            <w:pPr>
              <w:pStyle w:val="17"/>
              <w:bidi w:val="0"/>
              <w:rPr>
                <w:color w:val="auto"/>
              </w:rPr>
            </w:pPr>
            <w:r>
              <w:rPr>
                <w:rFonts w:hint="eastAsia"/>
                <w:color w:val="auto"/>
              </w:rPr>
              <w:t>总建筑面积</w:t>
            </w:r>
          </w:p>
        </w:tc>
        <w:tc>
          <w:tcPr>
            <w:tcW w:w="821" w:type="pct"/>
            <w:noWrap w:val="0"/>
            <w:vAlign w:val="center"/>
          </w:tcPr>
          <w:p>
            <w:pPr>
              <w:pStyle w:val="17"/>
              <w:bidi w:val="0"/>
              <w:rPr>
                <w:color w:val="auto"/>
              </w:rPr>
            </w:pPr>
            <w:r>
              <w:rPr>
                <w:rFonts w:hint="eastAsia"/>
                <w:color w:val="auto"/>
              </w:rPr>
              <w:t>㎡</w:t>
            </w:r>
          </w:p>
        </w:tc>
        <w:tc>
          <w:tcPr>
            <w:tcW w:w="1306" w:type="pct"/>
            <w:noWrap w:val="0"/>
            <w:vAlign w:val="center"/>
          </w:tcPr>
          <w:p>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43957.00</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2.1</w:t>
            </w:r>
          </w:p>
        </w:tc>
        <w:tc>
          <w:tcPr>
            <w:tcW w:w="1212" w:type="pct"/>
            <w:noWrap w:val="0"/>
            <w:vAlign w:val="center"/>
          </w:tcPr>
          <w:p>
            <w:pPr>
              <w:pStyle w:val="17"/>
              <w:bidi w:val="0"/>
              <w:rPr>
                <w:rFonts w:hint="eastAsia"/>
                <w:color w:val="auto"/>
              </w:rPr>
            </w:pPr>
            <w:r>
              <w:rPr>
                <w:rFonts w:hint="eastAsia"/>
                <w:color w:val="auto"/>
              </w:rPr>
              <w:t>计容建筑面积</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42921.04</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2.1.1</w:t>
            </w:r>
          </w:p>
        </w:tc>
        <w:tc>
          <w:tcPr>
            <w:tcW w:w="1212" w:type="pct"/>
            <w:noWrap w:val="0"/>
            <w:vAlign w:val="center"/>
          </w:tcPr>
          <w:p>
            <w:pPr>
              <w:pStyle w:val="17"/>
              <w:bidi w:val="0"/>
              <w:rPr>
                <w:color w:val="auto"/>
              </w:rPr>
            </w:pPr>
            <w:r>
              <w:rPr>
                <w:rFonts w:hint="eastAsia"/>
                <w:color w:val="auto"/>
                <w:lang w:val="en-US" w:eastAsia="zh-CN"/>
              </w:rPr>
              <w:t>4</w:t>
            </w:r>
            <w:r>
              <w:rPr>
                <w:rFonts w:hint="eastAsia"/>
                <w:color w:val="auto"/>
              </w:rPr>
              <w:t>~</w:t>
            </w:r>
            <w:r>
              <w:rPr>
                <w:rFonts w:hint="eastAsia"/>
                <w:color w:val="auto"/>
                <w:lang w:val="en-US" w:eastAsia="zh-CN"/>
              </w:rPr>
              <w:t>6</w:t>
            </w:r>
            <w:r>
              <w:rPr>
                <w:rFonts w:hint="eastAsia"/>
                <w:color w:val="auto"/>
              </w:rPr>
              <w:t>#厂房</w:t>
            </w:r>
          </w:p>
        </w:tc>
        <w:tc>
          <w:tcPr>
            <w:tcW w:w="821" w:type="pct"/>
            <w:noWrap w:val="0"/>
            <w:vAlign w:val="center"/>
          </w:tcPr>
          <w:p>
            <w:pPr>
              <w:pStyle w:val="17"/>
              <w:bidi w:val="0"/>
              <w:rPr>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30020.76</w:t>
            </w:r>
          </w:p>
        </w:tc>
        <w:tc>
          <w:tcPr>
            <w:tcW w:w="1170" w:type="pct"/>
            <w:noWrap w:val="0"/>
            <w:vAlign w:val="center"/>
          </w:tcPr>
          <w:p>
            <w:pPr>
              <w:pStyle w:val="17"/>
              <w:bidi w:val="0"/>
              <w:rPr>
                <w:rFonts w:hint="default" w:eastAsia="仿宋"/>
                <w:color w:val="auto"/>
                <w:lang w:val="en-US" w:eastAsia="zh-CN"/>
              </w:rPr>
            </w:pPr>
            <w:r>
              <w:rPr>
                <w:rFonts w:hint="eastAsia"/>
                <w:color w:val="auto"/>
                <w:lang w:eastAsia="zh-CN"/>
              </w:rPr>
              <w:t>10006.92</w:t>
            </w:r>
            <w:r>
              <w:rPr>
                <w:rFonts w:hint="eastAsia"/>
                <w:color w:val="auto"/>
                <w:lang w:val="en-US" w:eastAsia="zh-CN"/>
              </w:rPr>
              <w:t>/栋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2.1.2</w:t>
            </w:r>
          </w:p>
        </w:tc>
        <w:tc>
          <w:tcPr>
            <w:tcW w:w="1212" w:type="pct"/>
            <w:noWrap w:val="0"/>
            <w:vAlign w:val="center"/>
          </w:tcPr>
          <w:p>
            <w:pPr>
              <w:pStyle w:val="17"/>
              <w:bidi w:val="0"/>
              <w:rPr>
                <w:rFonts w:hint="eastAsia"/>
                <w:color w:val="auto"/>
              </w:rPr>
            </w:pPr>
            <w:r>
              <w:rPr>
                <w:rFonts w:hint="eastAsia"/>
                <w:color w:val="auto"/>
              </w:rPr>
              <w:t>3#厂房</w:t>
            </w:r>
          </w:p>
        </w:tc>
        <w:tc>
          <w:tcPr>
            <w:tcW w:w="821" w:type="pct"/>
            <w:noWrap w:val="0"/>
            <w:vAlign w:val="center"/>
          </w:tcPr>
          <w:p>
            <w:pPr>
              <w:pStyle w:val="17"/>
              <w:bidi w:val="0"/>
              <w:rPr>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6671.28</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2.1.3</w:t>
            </w:r>
          </w:p>
        </w:tc>
        <w:tc>
          <w:tcPr>
            <w:tcW w:w="1212" w:type="pct"/>
            <w:noWrap w:val="0"/>
            <w:vAlign w:val="center"/>
          </w:tcPr>
          <w:p>
            <w:pPr>
              <w:pStyle w:val="17"/>
              <w:bidi w:val="0"/>
              <w:rPr>
                <w:color w:val="auto"/>
              </w:rPr>
            </w:pPr>
            <w:r>
              <w:rPr>
                <w:rFonts w:hint="eastAsia"/>
                <w:color w:val="auto"/>
              </w:rPr>
              <w:t>2#宿舍楼</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color w:val="auto"/>
              </w:rPr>
            </w:pPr>
            <w:r>
              <w:rPr>
                <w:rFonts w:hint="eastAsia"/>
                <w:color w:val="auto"/>
              </w:rPr>
              <w:t>3639.72</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2.1.4</w:t>
            </w:r>
          </w:p>
        </w:tc>
        <w:tc>
          <w:tcPr>
            <w:tcW w:w="1212" w:type="pct"/>
            <w:noWrap w:val="0"/>
            <w:vAlign w:val="center"/>
          </w:tcPr>
          <w:p>
            <w:pPr>
              <w:pStyle w:val="17"/>
              <w:bidi w:val="0"/>
              <w:rPr>
                <w:color w:val="auto"/>
              </w:rPr>
            </w:pPr>
            <w:r>
              <w:rPr>
                <w:rFonts w:hint="eastAsia"/>
                <w:color w:val="auto"/>
              </w:rPr>
              <w:t>1#办公楼</w:t>
            </w:r>
          </w:p>
        </w:tc>
        <w:tc>
          <w:tcPr>
            <w:tcW w:w="821" w:type="pct"/>
            <w:noWrap w:val="0"/>
            <w:vAlign w:val="center"/>
          </w:tcPr>
          <w:p>
            <w:pPr>
              <w:pStyle w:val="17"/>
              <w:bidi w:val="0"/>
              <w:rPr>
                <w:color w:val="auto"/>
              </w:rPr>
            </w:pPr>
            <w:r>
              <w:rPr>
                <w:rFonts w:hint="eastAsia"/>
                <w:color w:val="auto"/>
              </w:rPr>
              <w:t>㎡</w:t>
            </w:r>
          </w:p>
        </w:tc>
        <w:tc>
          <w:tcPr>
            <w:tcW w:w="1306" w:type="pct"/>
            <w:noWrap w:val="0"/>
            <w:vAlign w:val="center"/>
          </w:tcPr>
          <w:p>
            <w:pPr>
              <w:pStyle w:val="17"/>
              <w:bidi w:val="0"/>
              <w:rPr>
                <w:color w:val="auto"/>
              </w:rPr>
            </w:pPr>
            <w:r>
              <w:rPr>
                <w:rFonts w:hint="eastAsia"/>
                <w:color w:val="auto"/>
              </w:rPr>
              <w:t>2351.28</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2.1.5</w:t>
            </w:r>
          </w:p>
        </w:tc>
        <w:tc>
          <w:tcPr>
            <w:tcW w:w="1212" w:type="pct"/>
            <w:noWrap w:val="0"/>
            <w:vAlign w:val="center"/>
          </w:tcPr>
          <w:p>
            <w:pPr>
              <w:pStyle w:val="17"/>
              <w:bidi w:val="0"/>
              <w:rPr>
                <w:rFonts w:hint="eastAsia"/>
                <w:color w:val="auto"/>
                <w:lang w:val="en-US" w:eastAsia="zh-CN"/>
              </w:rPr>
            </w:pPr>
            <w:r>
              <w:rPr>
                <w:rFonts w:hint="eastAsia"/>
                <w:color w:val="auto"/>
                <w:lang w:val="en-US" w:eastAsia="zh-CN"/>
              </w:rPr>
              <w:t>设备用房</w:t>
            </w:r>
          </w:p>
        </w:tc>
        <w:tc>
          <w:tcPr>
            <w:tcW w:w="821" w:type="pct"/>
            <w:noWrap w:val="0"/>
            <w:vAlign w:val="center"/>
          </w:tcPr>
          <w:p>
            <w:pPr>
              <w:pStyle w:val="17"/>
              <w:bidi w:val="0"/>
              <w:rPr>
                <w:color w:val="auto"/>
              </w:rPr>
            </w:pPr>
            <w:r>
              <w:rPr>
                <w:rFonts w:hint="eastAsia"/>
                <w:color w:val="auto"/>
              </w:rPr>
              <w:t>㎡</w:t>
            </w:r>
          </w:p>
        </w:tc>
        <w:tc>
          <w:tcPr>
            <w:tcW w:w="1306" w:type="pct"/>
            <w:noWrap w:val="0"/>
            <w:vAlign w:val="center"/>
          </w:tcPr>
          <w:p>
            <w:pPr>
              <w:pStyle w:val="17"/>
              <w:bidi w:val="0"/>
              <w:rPr>
                <w:rFonts w:hint="default"/>
                <w:color w:val="auto"/>
                <w:lang w:val="en-US" w:eastAsia="zh-CN"/>
              </w:rPr>
            </w:pPr>
            <w:r>
              <w:rPr>
                <w:rFonts w:hint="eastAsia"/>
                <w:color w:val="auto"/>
                <w:lang w:val="en-US" w:eastAsia="zh-CN"/>
              </w:rPr>
              <w:t>190.00</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default" w:eastAsia="仿宋"/>
                <w:color w:val="auto"/>
                <w:lang w:val="en-US" w:eastAsia="zh-CN"/>
              </w:rPr>
            </w:pPr>
            <w:r>
              <w:rPr>
                <w:rFonts w:hint="eastAsia"/>
                <w:color w:val="auto"/>
                <w:lang w:val="en-US" w:eastAsia="zh-CN"/>
              </w:rPr>
              <w:t>2.1.6</w:t>
            </w:r>
          </w:p>
        </w:tc>
        <w:tc>
          <w:tcPr>
            <w:tcW w:w="1212" w:type="pct"/>
            <w:noWrap w:val="0"/>
            <w:vAlign w:val="center"/>
          </w:tcPr>
          <w:p>
            <w:pPr>
              <w:pStyle w:val="17"/>
              <w:bidi w:val="0"/>
              <w:rPr>
                <w:rFonts w:hint="default"/>
                <w:color w:val="auto"/>
                <w:lang w:val="en-US" w:eastAsia="zh-CN"/>
              </w:rPr>
            </w:pPr>
            <w:r>
              <w:rPr>
                <w:rFonts w:hint="eastAsia"/>
                <w:color w:val="auto"/>
              </w:rPr>
              <w:t>门卫</w:t>
            </w:r>
          </w:p>
        </w:tc>
        <w:tc>
          <w:tcPr>
            <w:tcW w:w="821" w:type="pct"/>
            <w:noWrap w:val="0"/>
            <w:vAlign w:val="center"/>
          </w:tcPr>
          <w:p>
            <w:pPr>
              <w:pStyle w:val="17"/>
              <w:bidi w:val="0"/>
              <w:rPr>
                <w:rFonts w:hint="eastAsia"/>
                <w:color w:val="auto"/>
              </w:rPr>
            </w:pPr>
          </w:p>
        </w:tc>
        <w:tc>
          <w:tcPr>
            <w:tcW w:w="1306" w:type="pct"/>
            <w:noWrap w:val="0"/>
            <w:vAlign w:val="center"/>
          </w:tcPr>
          <w:p>
            <w:pPr>
              <w:pStyle w:val="17"/>
              <w:bidi w:val="0"/>
              <w:rPr>
                <w:rFonts w:hint="default"/>
                <w:color w:val="auto"/>
                <w:lang w:val="en-US" w:eastAsia="zh-CN"/>
              </w:rPr>
            </w:pPr>
            <w:r>
              <w:rPr>
                <w:rFonts w:hint="eastAsia"/>
                <w:color w:val="auto"/>
                <w:lang w:val="en-US" w:eastAsia="zh-CN"/>
              </w:rPr>
              <w:t>48.00</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2.2</w:t>
            </w:r>
          </w:p>
        </w:tc>
        <w:tc>
          <w:tcPr>
            <w:tcW w:w="1212" w:type="pct"/>
            <w:noWrap w:val="0"/>
            <w:vAlign w:val="center"/>
          </w:tcPr>
          <w:p>
            <w:pPr>
              <w:pStyle w:val="17"/>
              <w:bidi w:val="0"/>
              <w:rPr>
                <w:color w:val="auto"/>
              </w:rPr>
            </w:pPr>
            <w:r>
              <w:rPr>
                <w:rFonts w:hint="eastAsia"/>
                <w:color w:val="auto"/>
              </w:rPr>
              <w:t>不计容面积</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1035.96</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2.2.1</w:t>
            </w:r>
          </w:p>
        </w:tc>
        <w:tc>
          <w:tcPr>
            <w:tcW w:w="1212" w:type="pct"/>
            <w:noWrap w:val="0"/>
            <w:vAlign w:val="center"/>
          </w:tcPr>
          <w:p>
            <w:pPr>
              <w:pStyle w:val="17"/>
              <w:bidi w:val="0"/>
              <w:ind w:firstLine="0" w:firstLineChars="0"/>
              <w:rPr>
                <w:rFonts w:hint="eastAsia"/>
                <w:color w:val="auto"/>
              </w:rPr>
            </w:pPr>
            <w:r>
              <w:rPr>
                <w:rFonts w:hint="eastAsia"/>
                <w:color w:val="auto"/>
                <w:lang w:val="en-US" w:eastAsia="zh-CN"/>
              </w:rPr>
              <w:t>4</w:t>
            </w:r>
            <w:r>
              <w:rPr>
                <w:rFonts w:hint="eastAsia"/>
                <w:color w:val="auto"/>
              </w:rPr>
              <w:t>~</w:t>
            </w:r>
            <w:r>
              <w:rPr>
                <w:rFonts w:hint="eastAsia"/>
                <w:color w:val="auto"/>
                <w:lang w:val="en-US" w:eastAsia="zh-CN"/>
              </w:rPr>
              <w:t>6</w:t>
            </w:r>
            <w:r>
              <w:rPr>
                <w:rFonts w:hint="eastAsia"/>
                <w:color w:val="auto"/>
              </w:rPr>
              <w:t>#厂房</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701.04</w:t>
            </w:r>
          </w:p>
        </w:tc>
        <w:tc>
          <w:tcPr>
            <w:tcW w:w="1170" w:type="pct"/>
            <w:noWrap w:val="0"/>
            <w:vAlign w:val="center"/>
          </w:tcPr>
          <w:p>
            <w:pPr>
              <w:pStyle w:val="17"/>
              <w:bidi w:val="0"/>
              <w:rPr>
                <w:color w:val="auto"/>
              </w:rPr>
            </w:pPr>
            <w:r>
              <w:rPr>
                <w:rFonts w:hint="eastAsia" w:eastAsia="宋体"/>
                <w:color w:val="auto"/>
                <w:lang w:eastAsia="zh-CN"/>
              </w:rPr>
              <w:t>233.68</w:t>
            </w:r>
            <w:r>
              <w:rPr>
                <w:rFonts w:hint="eastAsia" w:ascii="Times New Roman" w:eastAsia="宋体"/>
                <w:color w:val="auto"/>
                <w:lang w:val="en-US" w:eastAsia="zh-CN"/>
              </w:rPr>
              <w:t>/栋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2.2.2</w:t>
            </w:r>
          </w:p>
        </w:tc>
        <w:tc>
          <w:tcPr>
            <w:tcW w:w="1212" w:type="pct"/>
            <w:noWrap w:val="0"/>
            <w:vAlign w:val="center"/>
          </w:tcPr>
          <w:p>
            <w:pPr>
              <w:pStyle w:val="17"/>
              <w:bidi w:val="0"/>
              <w:ind w:firstLine="0" w:firstLineChars="0"/>
              <w:rPr>
                <w:rFonts w:hint="eastAsia"/>
                <w:color w:val="auto"/>
              </w:rPr>
            </w:pPr>
            <w:r>
              <w:rPr>
                <w:rFonts w:hint="eastAsia"/>
                <w:color w:val="auto"/>
              </w:rPr>
              <w:t>3#厂房</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233.68</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2.2.3</w:t>
            </w:r>
          </w:p>
        </w:tc>
        <w:tc>
          <w:tcPr>
            <w:tcW w:w="1212" w:type="pct"/>
            <w:noWrap w:val="0"/>
            <w:vAlign w:val="center"/>
          </w:tcPr>
          <w:p>
            <w:pPr>
              <w:pStyle w:val="17"/>
              <w:bidi w:val="0"/>
              <w:ind w:firstLine="0" w:firstLineChars="0"/>
              <w:rPr>
                <w:rFonts w:hint="eastAsia"/>
                <w:color w:val="auto"/>
              </w:rPr>
            </w:pPr>
            <w:r>
              <w:rPr>
                <w:rFonts w:hint="eastAsia"/>
                <w:color w:val="auto"/>
              </w:rPr>
              <w:t>2#宿舍楼</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color w:val="auto"/>
              </w:rPr>
            </w:pPr>
            <w:r>
              <w:rPr>
                <w:rFonts w:hint="eastAsia"/>
                <w:color w:val="auto"/>
              </w:rPr>
              <w:t>43.52</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default" w:eastAsia="仿宋"/>
                <w:color w:val="auto"/>
                <w:lang w:val="en-US" w:eastAsia="zh-CN"/>
              </w:rPr>
            </w:pPr>
            <w:r>
              <w:rPr>
                <w:rFonts w:hint="eastAsia"/>
                <w:color w:val="auto"/>
                <w:lang w:val="en-US" w:eastAsia="zh-CN"/>
              </w:rPr>
              <w:t>2.2.4</w:t>
            </w:r>
          </w:p>
        </w:tc>
        <w:tc>
          <w:tcPr>
            <w:tcW w:w="1212" w:type="pct"/>
            <w:noWrap w:val="0"/>
            <w:vAlign w:val="center"/>
          </w:tcPr>
          <w:p>
            <w:pPr>
              <w:pStyle w:val="17"/>
              <w:bidi w:val="0"/>
              <w:ind w:firstLine="0" w:firstLineChars="0"/>
              <w:rPr>
                <w:rFonts w:hint="eastAsia"/>
                <w:color w:val="auto"/>
              </w:rPr>
            </w:pPr>
            <w:r>
              <w:rPr>
                <w:rFonts w:hint="eastAsia"/>
                <w:color w:val="auto"/>
              </w:rPr>
              <w:t>1#办公楼</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rFonts w:hint="eastAsia"/>
                <w:color w:val="auto"/>
              </w:rPr>
            </w:pPr>
            <w:r>
              <w:rPr>
                <w:rFonts w:hint="eastAsia"/>
                <w:color w:val="auto"/>
              </w:rPr>
              <w:t>57.72</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8" w:type="pct"/>
            <w:noWrap w:val="0"/>
            <w:vAlign w:val="center"/>
          </w:tcPr>
          <w:p>
            <w:pPr>
              <w:pStyle w:val="17"/>
              <w:bidi w:val="0"/>
              <w:rPr>
                <w:color w:val="auto"/>
              </w:rPr>
            </w:pPr>
            <w:r>
              <w:rPr>
                <w:rFonts w:hint="eastAsia"/>
                <w:color w:val="auto"/>
              </w:rPr>
              <w:t>3</w:t>
            </w:r>
          </w:p>
        </w:tc>
        <w:tc>
          <w:tcPr>
            <w:tcW w:w="1212" w:type="pct"/>
            <w:noWrap w:val="0"/>
            <w:vAlign w:val="center"/>
          </w:tcPr>
          <w:p>
            <w:pPr>
              <w:pStyle w:val="17"/>
              <w:bidi w:val="0"/>
              <w:rPr>
                <w:color w:val="auto"/>
              </w:rPr>
            </w:pPr>
            <w:r>
              <w:rPr>
                <w:rFonts w:hint="eastAsia"/>
                <w:color w:val="auto"/>
              </w:rPr>
              <w:t>建筑占地面积</w:t>
            </w:r>
          </w:p>
        </w:tc>
        <w:tc>
          <w:tcPr>
            <w:tcW w:w="821" w:type="pct"/>
            <w:noWrap w:val="0"/>
            <w:vAlign w:val="center"/>
          </w:tcPr>
          <w:p>
            <w:pPr>
              <w:pStyle w:val="17"/>
              <w:bidi w:val="0"/>
              <w:rPr>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15838.72</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3.1</w:t>
            </w:r>
          </w:p>
        </w:tc>
        <w:tc>
          <w:tcPr>
            <w:tcW w:w="1212" w:type="pct"/>
            <w:noWrap w:val="0"/>
            <w:vAlign w:val="center"/>
          </w:tcPr>
          <w:p>
            <w:pPr>
              <w:pStyle w:val="17"/>
              <w:bidi w:val="0"/>
              <w:ind w:firstLine="0" w:firstLineChars="0"/>
              <w:rPr>
                <w:rFonts w:ascii="仿宋" w:hAnsi="仿宋" w:eastAsia="仿宋" w:cs="仿宋"/>
                <w:color w:val="auto"/>
                <w:kern w:val="2"/>
                <w:sz w:val="24"/>
                <w:szCs w:val="30"/>
                <w:lang w:val="en-US" w:eastAsia="zh-CN" w:bidi="ar-SA"/>
              </w:rPr>
            </w:pPr>
            <w:r>
              <w:rPr>
                <w:rFonts w:hint="eastAsia"/>
                <w:color w:val="auto"/>
                <w:lang w:val="en-US" w:eastAsia="zh-CN"/>
              </w:rPr>
              <w:t>4</w:t>
            </w:r>
            <w:r>
              <w:rPr>
                <w:rFonts w:hint="eastAsia"/>
                <w:color w:val="auto"/>
              </w:rPr>
              <w:t>~</w:t>
            </w:r>
            <w:r>
              <w:rPr>
                <w:rFonts w:hint="eastAsia"/>
                <w:color w:val="auto"/>
                <w:lang w:val="en-US" w:eastAsia="zh-CN"/>
              </w:rPr>
              <w:t>6</w:t>
            </w:r>
            <w:r>
              <w:rPr>
                <w:rFonts w:hint="eastAsia"/>
                <w:color w:val="auto"/>
              </w:rPr>
              <w:t>#厂房</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10006.92</w:t>
            </w:r>
          </w:p>
        </w:tc>
        <w:tc>
          <w:tcPr>
            <w:tcW w:w="1170" w:type="pct"/>
            <w:noWrap w:val="0"/>
            <w:vAlign w:val="center"/>
          </w:tcPr>
          <w:p>
            <w:pPr>
              <w:pStyle w:val="17"/>
              <w:bidi w:val="0"/>
              <w:rPr>
                <w:color w:val="auto"/>
              </w:rPr>
            </w:pPr>
            <w:r>
              <w:rPr>
                <w:rFonts w:hint="eastAsia" w:eastAsia="宋体"/>
                <w:color w:val="auto"/>
                <w:lang w:eastAsia="zh-CN"/>
              </w:rPr>
              <w:t>3335.64</w:t>
            </w:r>
            <w:r>
              <w:rPr>
                <w:rFonts w:hint="eastAsia" w:ascii="Times New Roman" w:eastAsia="宋体"/>
                <w:color w:val="auto"/>
                <w:lang w:val="en-US" w:eastAsia="zh-CN"/>
              </w:rPr>
              <w:t>/栋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3.2</w:t>
            </w:r>
          </w:p>
        </w:tc>
        <w:tc>
          <w:tcPr>
            <w:tcW w:w="1212"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3#厂房</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3335.64</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default" w:eastAsia="仿宋"/>
                <w:color w:val="auto"/>
                <w:lang w:val="en-US" w:eastAsia="zh-CN"/>
              </w:rPr>
            </w:pPr>
            <w:r>
              <w:rPr>
                <w:rFonts w:hint="eastAsia"/>
                <w:color w:val="auto"/>
                <w:lang w:val="en-US" w:eastAsia="zh-CN"/>
              </w:rPr>
              <w:t>3.3</w:t>
            </w:r>
          </w:p>
        </w:tc>
        <w:tc>
          <w:tcPr>
            <w:tcW w:w="1212"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2#宿舍楼</w:t>
            </w:r>
          </w:p>
        </w:tc>
        <w:tc>
          <w:tcPr>
            <w:tcW w:w="821"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w:t>
            </w:r>
          </w:p>
        </w:tc>
        <w:tc>
          <w:tcPr>
            <w:tcW w:w="1306" w:type="pct"/>
            <w:noWrap w:val="0"/>
            <w:vAlign w:val="center"/>
          </w:tcPr>
          <w:p>
            <w:pPr>
              <w:pStyle w:val="17"/>
              <w:bidi w:val="0"/>
              <w:rPr>
                <w:rFonts w:hint="eastAsia"/>
                <w:color w:val="auto"/>
              </w:rPr>
            </w:pPr>
            <w:r>
              <w:rPr>
                <w:rFonts w:hint="eastAsia"/>
                <w:color w:val="auto"/>
              </w:rPr>
              <w:t>1082.52</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default" w:eastAsia="仿宋"/>
                <w:color w:val="auto"/>
                <w:lang w:val="en-US" w:eastAsia="zh-CN"/>
              </w:rPr>
            </w:pPr>
            <w:r>
              <w:rPr>
                <w:rFonts w:hint="eastAsia"/>
                <w:color w:val="auto"/>
                <w:lang w:val="en-US" w:eastAsia="zh-CN"/>
              </w:rPr>
              <w:t>3.4</w:t>
            </w:r>
          </w:p>
        </w:tc>
        <w:tc>
          <w:tcPr>
            <w:tcW w:w="1212"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1#办公楼</w:t>
            </w:r>
          </w:p>
        </w:tc>
        <w:tc>
          <w:tcPr>
            <w:tcW w:w="821"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w:t>
            </w:r>
          </w:p>
        </w:tc>
        <w:tc>
          <w:tcPr>
            <w:tcW w:w="1306" w:type="pct"/>
            <w:noWrap w:val="0"/>
            <w:vAlign w:val="center"/>
          </w:tcPr>
          <w:p>
            <w:pPr>
              <w:pStyle w:val="17"/>
              <w:bidi w:val="0"/>
              <w:rPr>
                <w:rFonts w:hint="eastAsia"/>
                <w:color w:val="auto"/>
              </w:rPr>
            </w:pPr>
            <w:r>
              <w:rPr>
                <w:rFonts w:hint="eastAsia"/>
                <w:color w:val="auto"/>
              </w:rPr>
              <w:t>1175.64</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default" w:eastAsia="仿宋"/>
                <w:color w:val="auto"/>
                <w:lang w:val="en-US" w:eastAsia="zh-CN"/>
              </w:rPr>
            </w:pPr>
            <w:r>
              <w:rPr>
                <w:rFonts w:hint="eastAsia"/>
                <w:color w:val="auto"/>
                <w:lang w:val="en-US" w:eastAsia="zh-CN"/>
              </w:rPr>
              <w:t>3.5</w:t>
            </w:r>
          </w:p>
        </w:tc>
        <w:tc>
          <w:tcPr>
            <w:tcW w:w="2212" w:type="dxa"/>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lang w:val="en-US" w:eastAsia="zh-CN"/>
              </w:rPr>
              <w:t>设备用房</w:t>
            </w:r>
          </w:p>
        </w:tc>
        <w:tc>
          <w:tcPr>
            <w:tcW w:w="821" w:type="pct"/>
            <w:noWrap w:val="0"/>
            <w:vAlign w:val="center"/>
          </w:tcPr>
          <w:p>
            <w:pPr>
              <w:pStyle w:val="17"/>
              <w:bidi w:val="0"/>
              <w:rPr>
                <w:rFonts w:hint="eastAsia"/>
                <w:color w:val="auto"/>
              </w:rPr>
            </w:pPr>
            <w:r>
              <w:rPr>
                <w:rFonts w:hint="eastAsia"/>
                <w:color w:val="auto"/>
              </w:rPr>
              <w:t>㎡</w:t>
            </w:r>
          </w:p>
        </w:tc>
        <w:tc>
          <w:tcPr>
            <w:tcW w:w="2384" w:type="dxa"/>
            <w:noWrap w:val="0"/>
            <w:vAlign w:val="center"/>
          </w:tcPr>
          <w:p>
            <w:pPr>
              <w:pStyle w:val="17"/>
              <w:bidi w:val="0"/>
              <w:ind w:firstLine="0" w:firstLineChars="0"/>
              <w:rPr>
                <w:rFonts w:hint="eastAsia"/>
                <w:color w:val="auto"/>
              </w:rPr>
            </w:pPr>
            <w:r>
              <w:rPr>
                <w:rFonts w:hint="eastAsia"/>
                <w:color w:val="auto"/>
                <w:lang w:val="en-US" w:eastAsia="zh-CN"/>
              </w:rPr>
              <w:t>190.00</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eastAsia"/>
                <w:color w:val="auto"/>
                <w:lang w:val="en-US" w:eastAsia="zh-CN"/>
              </w:rPr>
            </w:pPr>
          </w:p>
        </w:tc>
        <w:tc>
          <w:tcPr>
            <w:tcW w:w="2212" w:type="dxa"/>
            <w:noWrap w:val="0"/>
            <w:vAlign w:val="center"/>
          </w:tcPr>
          <w:p>
            <w:pPr>
              <w:pStyle w:val="17"/>
              <w:bidi w:val="0"/>
              <w:ind w:firstLine="0" w:firstLineChars="0"/>
              <w:rPr>
                <w:rFonts w:hint="eastAsia"/>
                <w:color w:val="auto"/>
              </w:rPr>
            </w:pPr>
            <w:r>
              <w:rPr>
                <w:rFonts w:hint="eastAsia"/>
                <w:color w:val="auto"/>
              </w:rPr>
              <w:t>门卫</w:t>
            </w:r>
          </w:p>
        </w:tc>
        <w:tc>
          <w:tcPr>
            <w:tcW w:w="821" w:type="pct"/>
            <w:noWrap w:val="0"/>
            <w:vAlign w:val="center"/>
          </w:tcPr>
          <w:p>
            <w:pPr>
              <w:pStyle w:val="17"/>
              <w:bidi w:val="0"/>
              <w:rPr>
                <w:rFonts w:hint="eastAsia"/>
                <w:color w:val="auto"/>
              </w:rPr>
            </w:pPr>
          </w:p>
        </w:tc>
        <w:tc>
          <w:tcPr>
            <w:tcW w:w="2384" w:type="dxa"/>
            <w:noWrap w:val="0"/>
            <w:vAlign w:val="center"/>
          </w:tcPr>
          <w:p>
            <w:pPr>
              <w:pStyle w:val="17"/>
              <w:bidi w:val="0"/>
              <w:ind w:firstLine="0" w:firstLineChars="0"/>
              <w:rPr>
                <w:rFonts w:hint="eastAsia"/>
                <w:color w:val="auto"/>
              </w:rPr>
            </w:pPr>
            <w:r>
              <w:rPr>
                <w:rFonts w:hint="eastAsia"/>
                <w:color w:val="auto"/>
                <w:lang w:val="en-US" w:eastAsia="zh-CN"/>
              </w:rPr>
              <w:t>48.00</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4</w:t>
            </w:r>
          </w:p>
        </w:tc>
        <w:tc>
          <w:tcPr>
            <w:tcW w:w="1212" w:type="pct"/>
            <w:noWrap w:val="0"/>
            <w:vAlign w:val="center"/>
          </w:tcPr>
          <w:p>
            <w:pPr>
              <w:pStyle w:val="17"/>
              <w:bidi w:val="0"/>
              <w:rPr>
                <w:color w:val="auto"/>
              </w:rPr>
            </w:pPr>
            <w:r>
              <w:rPr>
                <w:rFonts w:hint="eastAsia"/>
                <w:color w:val="auto"/>
              </w:rPr>
              <w:t>容积率</w:t>
            </w:r>
          </w:p>
        </w:tc>
        <w:tc>
          <w:tcPr>
            <w:tcW w:w="821" w:type="pct"/>
            <w:noWrap w:val="0"/>
            <w:vAlign w:val="center"/>
          </w:tcPr>
          <w:p>
            <w:pPr>
              <w:pStyle w:val="17"/>
              <w:bidi w:val="0"/>
              <w:rPr>
                <w:color w:val="auto"/>
              </w:rPr>
            </w:pPr>
            <w:r>
              <w:rPr>
                <w:color w:val="auto"/>
              </w:rPr>
              <w:t>/</w:t>
            </w:r>
          </w:p>
        </w:tc>
        <w:tc>
          <w:tcPr>
            <w:tcW w:w="1306" w:type="pct"/>
            <w:noWrap w:val="0"/>
            <w:vAlign w:val="center"/>
          </w:tcPr>
          <w:p>
            <w:pPr>
              <w:pStyle w:val="17"/>
              <w:bidi w:val="0"/>
              <w:rPr>
                <w:rFonts w:hint="eastAsia" w:eastAsia="仿宋"/>
                <w:color w:val="auto"/>
                <w:lang w:val="en-US" w:eastAsia="zh-CN"/>
              </w:rPr>
            </w:pPr>
            <w:r>
              <w:rPr>
                <w:rFonts w:hint="eastAsia"/>
                <w:color w:val="auto"/>
                <w:lang w:eastAsia="zh-CN"/>
              </w:rPr>
              <w:t>1.03</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5</w:t>
            </w:r>
          </w:p>
        </w:tc>
        <w:tc>
          <w:tcPr>
            <w:tcW w:w="1212" w:type="pct"/>
            <w:noWrap w:val="0"/>
            <w:vAlign w:val="center"/>
          </w:tcPr>
          <w:p>
            <w:pPr>
              <w:pStyle w:val="17"/>
              <w:bidi w:val="0"/>
              <w:rPr>
                <w:color w:val="auto"/>
              </w:rPr>
            </w:pPr>
            <w:r>
              <w:rPr>
                <w:rFonts w:hint="eastAsia"/>
                <w:color w:val="auto"/>
              </w:rPr>
              <w:t>建筑密度</w:t>
            </w:r>
          </w:p>
        </w:tc>
        <w:tc>
          <w:tcPr>
            <w:tcW w:w="821" w:type="pct"/>
            <w:noWrap w:val="0"/>
            <w:vAlign w:val="center"/>
          </w:tcPr>
          <w:p>
            <w:pPr>
              <w:pStyle w:val="17"/>
              <w:bidi w:val="0"/>
              <w:rPr>
                <w:color w:val="auto"/>
              </w:rPr>
            </w:pPr>
            <w:r>
              <w:rPr>
                <w:color w:val="auto"/>
              </w:rPr>
              <w:t>%</w:t>
            </w:r>
          </w:p>
        </w:tc>
        <w:tc>
          <w:tcPr>
            <w:tcW w:w="1306" w:type="pct"/>
            <w:noWrap w:val="0"/>
            <w:vAlign w:val="center"/>
          </w:tcPr>
          <w:p>
            <w:pPr>
              <w:pStyle w:val="17"/>
              <w:bidi w:val="0"/>
              <w:rPr>
                <w:rFonts w:hint="default" w:eastAsia="仿宋"/>
                <w:color w:val="auto"/>
                <w:lang w:val="en-US" w:eastAsia="zh-CN"/>
              </w:rPr>
            </w:pPr>
            <w:r>
              <w:rPr>
                <w:rFonts w:hint="eastAsia"/>
                <w:color w:val="auto"/>
                <w:lang w:val="en-US" w:eastAsia="zh-CN"/>
              </w:rPr>
              <w:t>37.93</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6</w:t>
            </w:r>
          </w:p>
        </w:tc>
        <w:tc>
          <w:tcPr>
            <w:tcW w:w="1212" w:type="pct"/>
            <w:noWrap w:val="0"/>
            <w:vAlign w:val="center"/>
          </w:tcPr>
          <w:p>
            <w:pPr>
              <w:pStyle w:val="17"/>
              <w:bidi w:val="0"/>
              <w:rPr>
                <w:color w:val="auto"/>
              </w:rPr>
            </w:pPr>
            <w:r>
              <w:rPr>
                <w:rFonts w:hint="eastAsia"/>
                <w:color w:val="auto"/>
              </w:rPr>
              <w:t>绿地率</w:t>
            </w:r>
          </w:p>
        </w:tc>
        <w:tc>
          <w:tcPr>
            <w:tcW w:w="821" w:type="pct"/>
            <w:noWrap w:val="0"/>
            <w:vAlign w:val="center"/>
          </w:tcPr>
          <w:p>
            <w:pPr>
              <w:pStyle w:val="17"/>
              <w:bidi w:val="0"/>
              <w:rPr>
                <w:color w:val="auto"/>
              </w:rPr>
            </w:pPr>
            <w:r>
              <w:rPr>
                <w:color w:val="auto"/>
              </w:rPr>
              <w:t>%</w:t>
            </w:r>
          </w:p>
        </w:tc>
        <w:tc>
          <w:tcPr>
            <w:tcW w:w="1306" w:type="pct"/>
            <w:noWrap w:val="0"/>
            <w:vAlign w:val="center"/>
          </w:tcPr>
          <w:p>
            <w:pPr>
              <w:pStyle w:val="17"/>
              <w:bidi w:val="0"/>
              <w:rPr>
                <w:rFonts w:hint="default" w:eastAsia="仿宋"/>
                <w:color w:val="auto"/>
                <w:lang w:val="en-US" w:eastAsia="zh-CN"/>
              </w:rPr>
            </w:pPr>
            <w:r>
              <w:rPr>
                <w:rFonts w:hint="eastAsia"/>
                <w:color w:val="auto"/>
                <w:lang w:val="en-US" w:eastAsia="zh-CN"/>
              </w:rPr>
              <w:t>12.9</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eastAsia"/>
                <w:color w:val="auto"/>
              </w:rPr>
            </w:pPr>
            <w:r>
              <w:rPr>
                <w:rFonts w:hint="eastAsia"/>
                <w:color w:val="auto"/>
              </w:rPr>
              <w:t>7</w:t>
            </w:r>
          </w:p>
        </w:tc>
        <w:tc>
          <w:tcPr>
            <w:tcW w:w="1212" w:type="pct"/>
            <w:noWrap w:val="0"/>
            <w:vAlign w:val="center"/>
          </w:tcPr>
          <w:p>
            <w:pPr>
              <w:pStyle w:val="17"/>
              <w:bidi w:val="0"/>
              <w:rPr>
                <w:color w:val="auto"/>
              </w:rPr>
            </w:pPr>
            <w:r>
              <w:rPr>
                <w:rFonts w:hint="eastAsia"/>
                <w:color w:val="auto"/>
              </w:rPr>
              <w:t>机动车停车位</w:t>
            </w:r>
          </w:p>
        </w:tc>
        <w:tc>
          <w:tcPr>
            <w:tcW w:w="821" w:type="pct"/>
            <w:noWrap w:val="0"/>
            <w:vAlign w:val="center"/>
          </w:tcPr>
          <w:p>
            <w:pPr>
              <w:pStyle w:val="17"/>
              <w:bidi w:val="0"/>
              <w:rPr>
                <w:rFonts w:hint="eastAsia"/>
                <w:color w:val="auto"/>
              </w:rPr>
            </w:pPr>
            <w:r>
              <w:rPr>
                <w:rFonts w:hint="eastAsia"/>
                <w:color w:val="auto"/>
              </w:rPr>
              <w:t>个</w:t>
            </w:r>
          </w:p>
        </w:tc>
        <w:tc>
          <w:tcPr>
            <w:tcW w:w="1306" w:type="pct"/>
            <w:noWrap w:val="0"/>
            <w:vAlign w:val="center"/>
          </w:tcPr>
          <w:p>
            <w:pPr>
              <w:pStyle w:val="17"/>
              <w:bidi w:val="0"/>
              <w:rPr>
                <w:rFonts w:hint="default" w:eastAsia="仿宋"/>
                <w:color w:val="auto"/>
                <w:lang w:val="en-US" w:eastAsia="zh-CN"/>
              </w:rPr>
            </w:pPr>
            <w:r>
              <w:rPr>
                <w:rFonts w:hint="eastAsia"/>
                <w:color w:val="auto"/>
                <w:lang w:val="en-US" w:eastAsia="zh-CN"/>
              </w:rPr>
              <w:t>101</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7.1</w:t>
            </w:r>
          </w:p>
        </w:tc>
        <w:tc>
          <w:tcPr>
            <w:tcW w:w="1212" w:type="pct"/>
            <w:noWrap w:val="0"/>
            <w:vAlign w:val="center"/>
          </w:tcPr>
          <w:p>
            <w:pPr>
              <w:pStyle w:val="17"/>
              <w:bidi w:val="0"/>
              <w:rPr>
                <w:color w:val="auto"/>
              </w:rPr>
            </w:pPr>
            <w:r>
              <w:rPr>
                <w:rFonts w:hint="eastAsia"/>
                <w:color w:val="auto"/>
              </w:rPr>
              <w:t>小车停车位</w:t>
            </w:r>
          </w:p>
        </w:tc>
        <w:tc>
          <w:tcPr>
            <w:tcW w:w="821" w:type="pct"/>
            <w:noWrap w:val="0"/>
            <w:vAlign w:val="center"/>
          </w:tcPr>
          <w:p>
            <w:pPr>
              <w:pStyle w:val="17"/>
              <w:bidi w:val="0"/>
              <w:rPr>
                <w:color w:val="auto"/>
              </w:rPr>
            </w:pPr>
            <w:r>
              <w:rPr>
                <w:rFonts w:hint="eastAsia"/>
                <w:color w:val="auto"/>
              </w:rPr>
              <w:t>个</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66</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default" w:eastAsia="仿宋"/>
                <w:color w:val="auto"/>
                <w:lang w:val="en-US" w:eastAsia="zh-CN"/>
              </w:rPr>
            </w:pPr>
            <w:r>
              <w:rPr>
                <w:rFonts w:hint="eastAsia"/>
                <w:color w:val="auto"/>
                <w:lang w:val="en-US" w:eastAsia="zh-CN"/>
              </w:rPr>
              <w:t>7.1.1</w:t>
            </w:r>
          </w:p>
        </w:tc>
        <w:tc>
          <w:tcPr>
            <w:tcW w:w="1212"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充电桩车位</w:t>
            </w:r>
          </w:p>
        </w:tc>
        <w:tc>
          <w:tcPr>
            <w:tcW w:w="821"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个</w:t>
            </w:r>
          </w:p>
        </w:tc>
        <w:tc>
          <w:tcPr>
            <w:tcW w:w="1306"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lang w:eastAsia="zh-CN"/>
              </w:rPr>
              <w:t>21</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default" w:eastAsia="仿宋"/>
                <w:color w:val="auto"/>
                <w:lang w:val="en-US" w:eastAsia="zh-CN"/>
              </w:rPr>
            </w:pPr>
            <w:r>
              <w:rPr>
                <w:rFonts w:hint="eastAsia"/>
                <w:color w:val="auto"/>
                <w:lang w:val="en-US" w:eastAsia="zh-CN"/>
              </w:rPr>
              <w:t>7.1.2</w:t>
            </w:r>
          </w:p>
        </w:tc>
        <w:tc>
          <w:tcPr>
            <w:tcW w:w="1212"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无障碍车位</w:t>
            </w:r>
          </w:p>
        </w:tc>
        <w:tc>
          <w:tcPr>
            <w:tcW w:w="821" w:type="pct"/>
            <w:noWrap w:val="0"/>
            <w:vAlign w:val="center"/>
          </w:tcPr>
          <w:p>
            <w:pPr>
              <w:pStyle w:val="17"/>
              <w:bidi w:val="0"/>
              <w:ind w:firstLine="0" w:firstLineChars="0"/>
              <w:rPr>
                <w:rFonts w:hint="eastAsia" w:ascii="仿宋" w:hAnsi="仿宋" w:eastAsia="宋体" w:cs="仿宋"/>
                <w:color w:val="auto"/>
                <w:kern w:val="2"/>
                <w:sz w:val="24"/>
                <w:szCs w:val="30"/>
                <w:lang w:val="en-US" w:eastAsia="zh-CN" w:bidi="ar-SA"/>
              </w:rPr>
            </w:pPr>
            <w:r>
              <w:rPr>
                <w:rFonts w:hint="eastAsia"/>
                <w:color w:val="auto"/>
              </w:rPr>
              <w:t>个</w:t>
            </w:r>
          </w:p>
        </w:tc>
        <w:tc>
          <w:tcPr>
            <w:tcW w:w="1306"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2</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7.2</w:t>
            </w:r>
          </w:p>
        </w:tc>
        <w:tc>
          <w:tcPr>
            <w:tcW w:w="1212" w:type="pct"/>
            <w:noWrap w:val="0"/>
            <w:vAlign w:val="center"/>
          </w:tcPr>
          <w:p>
            <w:pPr>
              <w:pStyle w:val="17"/>
              <w:bidi w:val="0"/>
              <w:rPr>
                <w:color w:val="auto"/>
              </w:rPr>
            </w:pPr>
            <w:r>
              <w:rPr>
                <w:rFonts w:hint="eastAsia"/>
                <w:color w:val="auto"/>
              </w:rPr>
              <w:t>货车停车位</w:t>
            </w:r>
          </w:p>
        </w:tc>
        <w:tc>
          <w:tcPr>
            <w:tcW w:w="821" w:type="pct"/>
            <w:noWrap w:val="0"/>
            <w:vAlign w:val="center"/>
          </w:tcPr>
          <w:p>
            <w:pPr>
              <w:pStyle w:val="17"/>
              <w:bidi w:val="0"/>
              <w:rPr>
                <w:color w:val="auto"/>
              </w:rPr>
            </w:pPr>
            <w:r>
              <w:rPr>
                <w:rFonts w:hint="eastAsia"/>
                <w:color w:val="auto"/>
              </w:rPr>
              <w:t>个</w:t>
            </w:r>
          </w:p>
        </w:tc>
        <w:tc>
          <w:tcPr>
            <w:tcW w:w="1306" w:type="pct"/>
            <w:noWrap w:val="0"/>
            <w:vAlign w:val="center"/>
          </w:tcPr>
          <w:p>
            <w:pPr>
              <w:pStyle w:val="17"/>
              <w:bidi w:val="0"/>
              <w:rPr>
                <w:rFonts w:hint="default" w:eastAsia="仿宋"/>
                <w:color w:val="auto"/>
                <w:lang w:val="en-US" w:eastAsia="zh-CN"/>
              </w:rPr>
            </w:pPr>
            <w:r>
              <w:rPr>
                <w:rFonts w:hint="eastAsia"/>
                <w:color w:val="auto"/>
                <w:lang w:val="en-US" w:eastAsia="zh-CN"/>
              </w:rPr>
              <w:t>12</w:t>
            </w:r>
          </w:p>
        </w:tc>
        <w:tc>
          <w:tcPr>
            <w:tcW w:w="1170" w:type="pct"/>
            <w:noWrap w:val="0"/>
            <w:vAlign w:val="center"/>
          </w:tcPr>
          <w:p>
            <w:pPr>
              <w:pStyle w:val="17"/>
              <w:bidi w:val="0"/>
              <w:rPr>
                <w:color w:val="auto"/>
              </w:rPr>
            </w:pPr>
          </w:p>
        </w:tc>
      </w:tr>
    </w:tbl>
    <w:p>
      <w:pPr>
        <w:pStyle w:val="17"/>
        <w:bidi w:val="0"/>
        <w:rPr>
          <w:rFonts w:hint="eastAsia"/>
          <w:color w:val="auto"/>
          <w:lang w:val="en-US" w:eastAsia="zh-CN"/>
        </w:rPr>
      </w:pPr>
    </w:p>
    <w:p>
      <w:pPr>
        <w:pStyle w:val="17"/>
        <w:bidi w:val="0"/>
        <w:rPr>
          <w:rFonts w:hint="default"/>
          <w:color w:val="auto"/>
          <w:lang w:val="en-US" w:eastAsia="zh-CN"/>
        </w:rPr>
      </w:pPr>
      <w:r>
        <w:rPr>
          <w:rFonts w:hint="eastAsia"/>
          <w:color w:val="auto"/>
          <w:lang w:val="en-US" w:eastAsia="zh-CN"/>
        </w:rPr>
        <w:t>单体建筑经济指标表</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0"/>
        <w:gridCol w:w="1520"/>
        <w:gridCol w:w="1521"/>
        <w:gridCol w:w="1521"/>
        <w:gridCol w:w="1521"/>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pPr>
              <w:pStyle w:val="17"/>
              <w:bidi w:val="0"/>
              <w:rPr>
                <w:rFonts w:hint="eastAsia"/>
                <w:color w:val="auto"/>
                <w:lang w:val="zh-CN"/>
              </w:rPr>
            </w:pPr>
            <w:r>
              <w:rPr>
                <w:rFonts w:hint="eastAsia"/>
                <w:color w:val="auto"/>
                <w:lang w:val="zh-CN"/>
              </w:rPr>
              <w:t>单体面积</w:t>
            </w:r>
          </w:p>
          <w:p>
            <w:pPr>
              <w:pStyle w:val="17"/>
              <w:bidi w:val="0"/>
              <w:rPr>
                <w:rFonts w:hint="eastAsia"/>
                <w:color w:val="auto"/>
                <w:lang w:val="zh-CN"/>
              </w:rPr>
            </w:pPr>
            <w:r>
              <w:rPr>
                <w:rFonts w:hint="eastAsia"/>
                <w:color w:val="auto"/>
                <w:lang w:val="zh-CN"/>
              </w:rPr>
              <w:t>指标表</w:t>
            </w:r>
          </w:p>
        </w:tc>
        <w:tc>
          <w:tcPr>
            <w:tcW w:w="833" w:type="pct"/>
            <w:noWrap w:val="0"/>
            <w:vAlign w:val="top"/>
          </w:tcPr>
          <w:p>
            <w:pPr>
              <w:pStyle w:val="17"/>
              <w:bidi w:val="0"/>
              <w:rPr>
                <w:rFonts w:hint="eastAsia"/>
                <w:color w:val="auto"/>
                <w:lang w:val="zh-CN"/>
              </w:rPr>
            </w:pPr>
            <w:r>
              <w:rPr>
                <w:rFonts w:hint="eastAsia"/>
                <w:color w:val="auto"/>
                <w:lang w:val="zh-CN"/>
              </w:rPr>
              <w:t>单位</w:t>
            </w:r>
          </w:p>
        </w:tc>
        <w:tc>
          <w:tcPr>
            <w:tcW w:w="834" w:type="pct"/>
            <w:noWrap w:val="0"/>
            <w:vAlign w:val="top"/>
          </w:tcPr>
          <w:p>
            <w:pPr>
              <w:pStyle w:val="17"/>
              <w:bidi w:val="0"/>
              <w:rPr>
                <w:rFonts w:hint="eastAsia"/>
                <w:color w:val="auto"/>
                <w:lang w:val="zh-CN"/>
              </w:rPr>
            </w:pPr>
            <w:r>
              <w:rPr>
                <w:rFonts w:hint="eastAsia"/>
                <w:color w:val="auto"/>
                <w:lang w:val="zh-CN"/>
              </w:rPr>
              <w:t>总建筑面积</w:t>
            </w:r>
          </w:p>
        </w:tc>
        <w:tc>
          <w:tcPr>
            <w:tcW w:w="834" w:type="pct"/>
            <w:noWrap w:val="0"/>
            <w:vAlign w:val="top"/>
          </w:tcPr>
          <w:p>
            <w:pPr>
              <w:pStyle w:val="17"/>
              <w:bidi w:val="0"/>
              <w:rPr>
                <w:rFonts w:hint="eastAsia"/>
                <w:color w:val="auto"/>
                <w:lang w:val="zh-CN"/>
              </w:rPr>
            </w:pPr>
            <w:r>
              <w:rPr>
                <w:rFonts w:hint="eastAsia"/>
                <w:color w:val="auto"/>
                <w:lang w:val="zh-CN"/>
              </w:rPr>
              <w:t>计容面积</w:t>
            </w:r>
          </w:p>
        </w:tc>
        <w:tc>
          <w:tcPr>
            <w:tcW w:w="834" w:type="pct"/>
            <w:noWrap w:val="0"/>
            <w:vAlign w:val="top"/>
          </w:tcPr>
          <w:p>
            <w:pPr>
              <w:pStyle w:val="17"/>
              <w:bidi w:val="0"/>
              <w:rPr>
                <w:rFonts w:hint="eastAsia"/>
                <w:color w:val="auto"/>
                <w:lang w:val="zh-CN"/>
              </w:rPr>
            </w:pPr>
            <w:r>
              <w:rPr>
                <w:rFonts w:hint="eastAsia"/>
                <w:color w:val="auto"/>
                <w:lang w:val="zh-CN"/>
              </w:rPr>
              <w:t>不计容面积</w:t>
            </w:r>
          </w:p>
        </w:tc>
        <w:tc>
          <w:tcPr>
            <w:tcW w:w="834" w:type="pct"/>
            <w:noWrap w:val="0"/>
            <w:vAlign w:val="top"/>
          </w:tcPr>
          <w:p>
            <w:pPr>
              <w:pStyle w:val="17"/>
              <w:bidi w:val="0"/>
              <w:rPr>
                <w:rFonts w:hint="eastAsia"/>
                <w:color w:val="auto"/>
                <w:lang w:val="zh-CN"/>
              </w:rPr>
            </w:pPr>
            <w:r>
              <w:rPr>
                <w:rFonts w:hint="eastAsia"/>
                <w:color w:val="auto"/>
                <w:lang w:val="zh-CN"/>
              </w:rPr>
              <w:t>占地面积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restart"/>
            <w:noWrap w:val="0"/>
            <w:vAlign w:val="center"/>
          </w:tcPr>
          <w:p>
            <w:pPr>
              <w:pStyle w:val="17"/>
              <w:bidi w:val="0"/>
              <w:ind w:firstLine="0" w:firstLineChars="0"/>
              <w:rPr>
                <w:rFonts w:hint="eastAsia"/>
                <w:color w:val="auto"/>
                <w:lang w:val="zh-CN"/>
              </w:rPr>
            </w:pPr>
            <w:r>
              <w:rPr>
                <w:rFonts w:hint="eastAsia"/>
                <w:color w:val="auto"/>
                <w:lang w:val="en-US" w:eastAsia="zh-CN"/>
              </w:rPr>
              <w:t>4</w:t>
            </w:r>
            <w:r>
              <w:rPr>
                <w:rFonts w:hint="eastAsia"/>
                <w:color w:val="auto"/>
              </w:rPr>
              <w:t>~</w:t>
            </w:r>
            <w:r>
              <w:rPr>
                <w:rFonts w:hint="eastAsia"/>
                <w:color w:val="auto"/>
                <w:lang w:val="en-US" w:eastAsia="zh-CN"/>
              </w:rPr>
              <w:t>6</w:t>
            </w:r>
            <w:r>
              <w:rPr>
                <w:rFonts w:hint="eastAsia"/>
                <w:color w:val="auto"/>
              </w:rPr>
              <w:t>#厂房</w:t>
            </w:r>
          </w:p>
        </w:tc>
        <w:tc>
          <w:tcPr>
            <w:tcW w:w="833" w:type="pct"/>
            <w:noWrap w:val="0"/>
            <w:vAlign w:val="top"/>
          </w:tcPr>
          <w:p>
            <w:pPr>
              <w:pStyle w:val="17"/>
              <w:bidi w:val="0"/>
              <w:rPr>
                <w:rFonts w:hint="eastAsia"/>
                <w:color w:val="auto"/>
                <w:lang w:val="zh-CN"/>
              </w:rPr>
            </w:pPr>
            <w:r>
              <w:rPr>
                <w:rFonts w:hint="eastAsia"/>
                <w:color w:val="auto"/>
                <w:lang w:val="zh-CN"/>
              </w:rPr>
              <w:t>平方米</w:t>
            </w:r>
          </w:p>
        </w:tc>
        <w:tc>
          <w:tcPr>
            <w:tcW w:w="834" w:type="pct"/>
            <w:noWrap w:val="0"/>
            <w:vAlign w:val="top"/>
          </w:tcPr>
          <w:p>
            <w:pPr>
              <w:pStyle w:val="17"/>
              <w:bidi w:val="0"/>
              <w:rPr>
                <w:rFonts w:hint="eastAsia"/>
                <w:color w:val="auto"/>
                <w:lang w:val="zh-CN"/>
              </w:rPr>
            </w:pPr>
            <w:r>
              <w:rPr>
                <w:rFonts w:hint="eastAsia"/>
                <w:color w:val="auto"/>
                <w:lang w:val="zh-CN"/>
              </w:rPr>
              <w:t>10240.60（单体）</w:t>
            </w:r>
          </w:p>
        </w:tc>
        <w:tc>
          <w:tcPr>
            <w:tcW w:w="834" w:type="pct"/>
            <w:noWrap w:val="0"/>
            <w:vAlign w:val="top"/>
          </w:tcPr>
          <w:p>
            <w:pPr>
              <w:pStyle w:val="17"/>
              <w:bidi w:val="0"/>
              <w:rPr>
                <w:rFonts w:hint="eastAsia"/>
                <w:color w:val="auto"/>
                <w:lang w:val="zh-CN"/>
              </w:rPr>
            </w:pPr>
            <w:r>
              <w:rPr>
                <w:rFonts w:hint="eastAsia"/>
                <w:color w:val="auto"/>
                <w:lang w:val="zh-CN"/>
              </w:rPr>
              <w:t>10006.92（单体）</w:t>
            </w:r>
          </w:p>
        </w:tc>
        <w:tc>
          <w:tcPr>
            <w:tcW w:w="834" w:type="pct"/>
            <w:noWrap w:val="0"/>
            <w:vAlign w:val="top"/>
          </w:tcPr>
          <w:p>
            <w:pPr>
              <w:pStyle w:val="17"/>
              <w:bidi w:val="0"/>
              <w:rPr>
                <w:rFonts w:hint="eastAsia"/>
                <w:color w:val="auto"/>
                <w:lang w:val="zh-CN"/>
              </w:rPr>
            </w:pPr>
            <w:r>
              <w:rPr>
                <w:rFonts w:hint="eastAsia"/>
                <w:color w:val="auto"/>
                <w:lang w:val="zh-CN"/>
              </w:rPr>
              <w:t>233.68（单体）</w:t>
            </w:r>
          </w:p>
        </w:tc>
        <w:tc>
          <w:tcPr>
            <w:tcW w:w="834" w:type="pct"/>
            <w:noWrap w:val="0"/>
            <w:vAlign w:val="top"/>
          </w:tcPr>
          <w:p>
            <w:pPr>
              <w:pStyle w:val="17"/>
              <w:bidi w:val="0"/>
              <w:rPr>
                <w:rFonts w:hint="eastAsia"/>
                <w:color w:val="auto"/>
                <w:lang w:val="zh-CN"/>
              </w:rPr>
            </w:pPr>
            <w:r>
              <w:rPr>
                <w:rFonts w:hint="eastAsia"/>
                <w:color w:val="auto"/>
                <w:lang w:val="zh-CN"/>
              </w:rPr>
              <w:t>3335.64（单体）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noWrap w:val="0"/>
            <w:vAlign w:val="top"/>
          </w:tcPr>
          <w:p>
            <w:pPr>
              <w:pStyle w:val="17"/>
              <w:bidi w:val="0"/>
              <w:rPr>
                <w:rFonts w:hint="eastAsia"/>
                <w:color w:val="auto"/>
                <w:lang w:val="zh-CN"/>
              </w:rPr>
            </w:pPr>
          </w:p>
        </w:tc>
        <w:tc>
          <w:tcPr>
            <w:tcW w:w="833" w:type="pct"/>
            <w:noWrap w:val="0"/>
            <w:vAlign w:val="top"/>
          </w:tcPr>
          <w:p>
            <w:pPr>
              <w:pStyle w:val="17"/>
              <w:bidi w:val="0"/>
              <w:rPr>
                <w:color w:val="auto"/>
              </w:rPr>
            </w:pPr>
            <w:r>
              <w:rPr>
                <w:rFonts w:hint="eastAsia"/>
                <w:color w:val="auto"/>
                <w:lang w:val="zh-CN"/>
              </w:rPr>
              <w:t>平方米</w:t>
            </w:r>
          </w:p>
        </w:tc>
        <w:tc>
          <w:tcPr>
            <w:tcW w:w="834" w:type="pct"/>
            <w:noWrap w:val="0"/>
            <w:vAlign w:val="top"/>
          </w:tcPr>
          <w:p>
            <w:pPr>
              <w:pStyle w:val="17"/>
              <w:bidi w:val="0"/>
              <w:rPr>
                <w:rFonts w:hint="eastAsia"/>
                <w:color w:val="auto"/>
                <w:lang w:val="zh-CN"/>
              </w:rPr>
            </w:pPr>
            <w:r>
              <w:rPr>
                <w:rFonts w:hint="eastAsia"/>
                <w:color w:val="auto"/>
                <w:lang w:val="zh-CN"/>
              </w:rPr>
              <w:t>30721.8（合计）</w:t>
            </w:r>
          </w:p>
        </w:tc>
        <w:tc>
          <w:tcPr>
            <w:tcW w:w="834" w:type="pct"/>
            <w:noWrap w:val="0"/>
            <w:vAlign w:val="top"/>
          </w:tcPr>
          <w:p>
            <w:pPr>
              <w:pStyle w:val="17"/>
              <w:bidi w:val="0"/>
              <w:rPr>
                <w:rFonts w:hint="eastAsia"/>
                <w:color w:val="auto"/>
                <w:lang w:val="zh-CN"/>
              </w:rPr>
            </w:pPr>
            <w:r>
              <w:rPr>
                <w:rFonts w:hint="eastAsia"/>
                <w:color w:val="auto"/>
                <w:lang w:val="zh-CN"/>
              </w:rPr>
              <w:t>30020.76（合计）</w:t>
            </w:r>
          </w:p>
        </w:tc>
        <w:tc>
          <w:tcPr>
            <w:tcW w:w="834" w:type="pct"/>
            <w:noWrap w:val="0"/>
            <w:vAlign w:val="top"/>
          </w:tcPr>
          <w:p>
            <w:pPr>
              <w:pStyle w:val="17"/>
              <w:bidi w:val="0"/>
              <w:rPr>
                <w:rFonts w:hint="eastAsia"/>
                <w:color w:val="auto"/>
                <w:lang w:val="zh-CN"/>
              </w:rPr>
            </w:pPr>
            <w:r>
              <w:rPr>
                <w:rFonts w:hint="eastAsia"/>
                <w:color w:val="auto"/>
                <w:lang w:val="zh-CN"/>
              </w:rPr>
              <w:t>701.04（合计）</w:t>
            </w:r>
          </w:p>
        </w:tc>
        <w:tc>
          <w:tcPr>
            <w:tcW w:w="834" w:type="pct"/>
            <w:noWrap w:val="0"/>
            <w:vAlign w:val="top"/>
          </w:tcPr>
          <w:p>
            <w:pPr>
              <w:pStyle w:val="17"/>
              <w:bidi w:val="0"/>
              <w:rPr>
                <w:rFonts w:hint="eastAsia"/>
                <w:color w:val="auto"/>
                <w:lang w:val="zh-CN"/>
              </w:rPr>
            </w:pPr>
            <w:r>
              <w:rPr>
                <w:rFonts w:hint="eastAsia"/>
                <w:color w:val="auto"/>
                <w:lang w:val="zh-CN"/>
              </w:rPr>
              <w:t>10006.92（合计）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noWrap w:val="0"/>
            <w:vAlign w:val="center"/>
          </w:tcPr>
          <w:p>
            <w:pPr>
              <w:pStyle w:val="17"/>
              <w:bidi w:val="0"/>
              <w:ind w:firstLine="0" w:firstLineChars="0"/>
              <w:rPr>
                <w:rFonts w:hint="eastAsia"/>
                <w:color w:val="auto"/>
                <w:lang w:val="zh-CN"/>
              </w:rPr>
            </w:pPr>
            <w:r>
              <w:rPr>
                <w:rFonts w:hint="eastAsia"/>
                <w:color w:val="auto"/>
              </w:rPr>
              <w:t>3#厂房</w:t>
            </w:r>
          </w:p>
        </w:tc>
        <w:tc>
          <w:tcPr>
            <w:tcW w:w="833" w:type="pct"/>
            <w:noWrap w:val="0"/>
            <w:vAlign w:val="top"/>
          </w:tcPr>
          <w:p>
            <w:pPr>
              <w:pStyle w:val="17"/>
              <w:bidi w:val="0"/>
              <w:rPr>
                <w:color w:val="auto"/>
              </w:rPr>
            </w:pPr>
            <w:r>
              <w:rPr>
                <w:rFonts w:hint="eastAsia"/>
                <w:color w:val="auto"/>
                <w:lang w:val="zh-CN"/>
              </w:rPr>
              <w:t>平方米</w:t>
            </w:r>
          </w:p>
        </w:tc>
        <w:tc>
          <w:tcPr>
            <w:tcW w:w="834" w:type="pct"/>
            <w:noWrap w:val="0"/>
            <w:vAlign w:val="top"/>
          </w:tcPr>
          <w:p>
            <w:pPr>
              <w:pStyle w:val="17"/>
              <w:bidi w:val="0"/>
              <w:rPr>
                <w:rFonts w:hint="eastAsia"/>
                <w:color w:val="auto"/>
                <w:lang w:val="zh-CN"/>
              </w:rPr>
            </w:pPr>
            <w:r>
              <w:rPr>
                <w:rFonts w:hint="eastAsia"/>
                <w:color w:val="auto"/>
                <w:lang w:val="zh-CN"/>
              </w:rPr>
              <w:t>6904.96</w:t>
            </w:r>
          </w:p>
        </w:tc>
        <w:tc>
          <w:tcPr>
            <w:tcW w:w="834" w:type="pct"/>
            <w:noWrap w:val="0"/>
            <w:vAlign w:val="top"/>
          </w:tcPr>
          <w:p>
            <w:pPr>
              <w:pStyle w:val="17"/>
              <w:bidi w:val="0"/>
              <w:rPr>
                <w:rFonts w:hint="eastAsia"/>
                <w:color w:val="auto"/>
                <w:lang w:val="zh-CN"/>
              </w:rPr>
            </w:pPr>
            <w:r>
              <w:rPr>
                <w:rFonts w:hint="eastAsia"/>
                <w:color w:val="auto"/>
                <w:lang w:val="zh-CN"/>
              </w:rPr>
              <w:t>6671.28</w:t>
            </w:r>
          </w:p>
        </w:tc>
        <w:tc>
          <w:tcPr>
            <w:tcW w:w="834" w:type="pct"/>
            <w:noWrap w:val="0"/>
            <w:vAlign w:val="top"/>
          </w:tcPr>
          <w:p>
            <w:pPr>
              <w:pStyle w:val="17"/>
              <w:bidi w:val="0"/>
              <w:rPr>
                <w:rFonts w:hint="eastAsia"/>
                <w:color w:val="auto"/>
                <w:lang w:val="zh-CN"/>
              </w:rPr>
            </w:pPr>
            <w:r>
              <w:rPr>
                <w:rFonts w:hint="eastAsia"/>
                <w:color w:val="auto"/>
                <w:lang w:val="zh-CN"/>
              </w:rPr>
              <w:t>233.68</w:t>
            </w:r>
          </w:p>
        </w:tc>
        <w:tc>
          <w:tcPr>
            <w:tcW w:w="834" w:type="pct"/>
            <w:noWrap w:val="0"/>
            <w:vAlign w:val="top"/>
          </w:tcPr>
          <w:p>
            <w:pPr>
              <w:pStyle w:val="17"/>
              <w:bidi w:val="0"/>
              <w:rPr>
                <w:rFonts w:hint="eastAsia"/>
                <w:color w:val="auto"/>
                <w:lang w:val="zh-CN"/>
              </w:rPr>
            </w:pPr>
            <w:r>
              <w:rPr>
                <w:rFonts w:hint="eastAsia"/>
                <w:color w:val="auto"/>
                <w:lang w:val="zh-CN"/>
              </w:rPr>
              <w:t>3335.64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noWrap w:val="0"/>
            <w:vAlign w:val="center"/>
          </w:tcPr>
          <w:p>
            <w:pPr>
              <w:pStyle w:val="17"/>
              <w:bidi w:val="0"/>
              <w:ind w:firstLine="0" w:firstLineChars="0"/>
              <w:rPr>
                <w:rFonts w:hint="eastAsia"/>
                <w:color w:val="auto"/>
                <w:lang w:val="zh-CN"/>
              </w:rPr>
            </w:pPr>
            <w:r>
              <w:rPr>
                <w:rFonts w:hint="eastAsia"/>
                <w:color w:val="auto"/>
              </w:rPr>
              <w:t>2#宿舍楼</w:t>
            </w:r>
          </w:p>
        </w:tc>
        <w:tc>
          <w:tcPr>
            <w:tcW w:w="833" w:type="pct"/>
            <w:noWrap w:val="0"/>
            <w:vAlign w:val="top"/>
          </w:tcPr>
          <w:p>
            <w:pPr>
              <w:pStyle w:val="17"/>
              <w:bidi w:val="0"/>
              <w:rPr>
                <w:color w:val="auto"/>
              </w:rPr>
            </w:pPr>
            <w:r>
              <w:rPr>
                <w:rFonts w:hint="eastAsia"/>
                <w:color w:val="auto"/>
                <w:lang w:val="zh-CN"/>
              </w:rPr>
              <w:t>平方米</w:t>
            </w:r>
          </w:p>
        </w:tc>
        <w:tc>
          <w:tcPr>
            <w:tcW w:w="834" w:type="pct"/>
            <w:noWrap w:val="0"/>
            <w:vAlign w:val="top"/>
          </w:tcPr>
          <w:p>
            <w:pPr>
              <w:pStyle w:val="17"/>
              <w:bidi w:val="0"/>
              <w:rPr>
                <w:rFonts w:hint="eastAsia"/>
                <w:color w:val="auto"/>
                <w:lang w:val="zh-CN"/>
              </w:rPr>
            </w:pPr>
            <w:r>
              <w:rPr>
                <w:rFonts w:hint="eastAsia"/>
                <w:color w:val="auto"/>
                <w:lang w:val="zh-CN"/>
              </w:rPr>
              <w:t>3683.24</w:t>
            </w:r>
          </w:p>
        </w:tc>
        <w:tc>
          <w:tcPr>
            <w:tcW w:w="834" w:type="pct"/>
            <w:noWrap w:val="0"/>
            <w:vAlign w:val="top"/>
          </w:tcPr>
          <w:p>
            <w:pPr>
              <w:pStyle w:val="17"/>
              <w:bidi w:val="0"/>
              <w:rPr>
                <w:rFonts w:hint="eastAsia"/>
                <w:color w:val="auto"/>
                <w:lang w:val="zh-CN"/>
              </w:rPr>
            </w:pPr>
            <w:r>
              <w:rPr>
                <w:rFonts w:hint="eastAsia"/>
                <w:color w:val="auto"/>
                <w:lang w:val="zh-CN"/>
              </w:rPr>
              <w:t>3639.72</w:t>
            </w:r>
          </w:p>
        </w:tc>
        <w:tc>
          <w:tcPr>
            <w:tcW w:w="834" w:type="pct"/>
            <w:noWrap w:val="0"/>
            <w:vAlign w:val="top"/>
          </w:tcPr>
          <w:p>
            <w:pPr>
              <w:pStyle w:val="17"/>
              <w:bidi w:val="0"/>
              <w:rPr>
                <w:rFonts w:hint="eastAsia"/>
                <w:color w:val="auto"/>
                <w:lang w:val="zh-CN"/>
              </w:rPr>
            </w:pPr>
            <w:r>
              <w:rPr>
                <w:rFonts w:hint="eastAsia"/>
                <w:color w:val="auto"/>
                <w:lang w:val="zh-CN"/>
              </w:rPr>
              <w:t>43.52</w:t>
            </w:r>
          </w:p>
        </w:tc>
        <w:tc>
          <w:tcPr>
            <w:tcW w:w="834" w:type="pct"/>
            <w:noWrap w:val="0"/>
            <w:vAlign w:val="top"/>
          </w:tcPr>
          <w:p>
            <w:pPr>
              <w:pStyle w:val="17"/>
              <w:bidi w:val="0"/>
              <w:rPr>
                <w:rFonts w:hint="eastAsia"/>
                <w:color w:val="auto"/>
                <w:lang w:val="zh-CN"/>
              </w:rPr>
            </w:pPr>
            <w:r>
              <w:rPr>
                <w:rFonts w:hint="eastAsia" w:ascii="Times New Roman"/>
                <w:color w:val="auto"/>
                <w:lang w:val="zh-CN"/>
              </w:rPr>
              <w:t>1082.52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noWrap w:val="0"/>
            <w:vAlign w:val="center"/>
          </w:tcPr>
          <w:p>
            <w:pPr>
              <w:pStyle w:val="17"/>
              <w:bidi w:val="0"/>
              <w:ind w:firstLine="0" w:firstLineChars="0"/>
              <w:rPr>
                <w:rFonts w:hint="eastAsia"/>
                <w:color w:val="auto"/>
                <w:lang w:val="zh-CN"/>
              </w:rPr>
            </w:pPr>
            <w:r>
              <w:rPr>
                <w:rFonts w:hint="eastAsia"/>
                <w:color w:val="auto"/>
              </w:rPr>
              <w:t>1#办公楼</w:t>
            </w:r>
          </w:p>
        </w:tc>
        <w:tc>
          <w:tcPr>
            <w:tcW w:w="833" w:type="pct"/>
            <w:noWrap w:val="0"/>
            <w:vAlign w:val="top"/>
          </w:tcPr>
          <w:p>
            <w:pPr>
              <w:pStyle w:val="17"/>
              <w:bidi w:val="0"/>
              <w:rPr>
                <w:color w:val="auto"/>
              </w:rPr>
            </w:pPr>
            <w:r>
              <w:rPr>
                <w:rFonts w:hint="eastAsia"/>
                <w:color w:val="auto"/>
                <w:lang w:val="zh-CN"/>
              </w:rPr>
              <w:t>平方米</w:t>
            </w:r>
          </w:p>
        </w:tc>
        <w:tc>
          <w:tcPr>
            <w:tcW w:w="834" w:type="pct"/>
            <w:noWrap w:val="0"/>
            <w:vAlign w:val="top"/>
          </w:tcPr>
          <w:p>
            <w:pPr>
              <w:pStyle w:val="17"/>
              <w:bidi w:val="0"/>
              <w:rPr>
                <w:rFonts w:hint="eastAsia"/>
                <w:color w:val="auto"/>
                <w:lang w:val="zh-CN"/>
              </w:rPr>
            </w:pPr>
            <w:r>
              <w:rPr>
                <w:rFonts w:hint="eastAsia"/>
                <w:color w:val="auto"/>
                <w:lang w:val="zh-CN"/>
              </w:rPr>
              <w:t>2409.00</w:t>
            </w:r>
          </w:p>
        </w:tc>
        <w:tc>
          <w:tcPr>
            <w:tcW w:w="834" w:type="pct"/>
            <w:noWrap w:val="0"/>
            <w:vAlign w:val="top"/>
          </w:tcPr>
          <w:p>
            <w:pPr>
              <w:pStyle w:val="17"/>
              <w:bidi w:val="0"/>
              <w:rPr>
                <w:rFonts w:hint="eastAsia"/>
                <w:color w:val="auto"/>
                <w:lang w:val="zh-CN"/>
              </w:rPr>
            </w:pPr>
            <w:r>
              <w:rPr>
                <w:rFonts w:hint="eastAsia"/>
                <w:color w:val="auto"/>
                <w:lang w:val="zh-CN"/>
              </w:rPr>
              <w:t>2351.28</w:t>
            </w:r>
          </w:p>
        </w:tc>
        <w:tc>
          <w:tcPr>
            <w:tcW w:w="834" w:type="pct"/>
            <w:noWrap w:val="0"/>
            <w:vAlign w:val="top"/>
          </w:tcPr>
          <w:p>
            <w:pPr>
              <w:pStyle w:val="17"/>
              <w:bidi w:val="0"/>
              <w:rPr>
                <w:rFonts w:hint="eastAsia"/>
                <w:color w:val="auto"/>
                <w:lang w:val="zh-CN"/>
              </w:rPr>
            </w:pPr>
            <w:r>
              <w:rPr>
                <w:rFonts w:hint="eastAsia"/>
                <w:color w:val="auto"/>
                <w:lang w:val="zh-CN"/>
              </w:rPr>
              <w:t>57.72</w:t>
            </w:r>
          </w:p>
        </w:tc>
        <w:tc>
          <w:tcPr>
            <w:tcW w:w="834" w:type="pct"/>
            <w:noWrap w:val="0"/>
            <w:vAlign w:val="top"/>
          </w:tcPr>
          <w:p>
            <w:pPr>
              <w:pStyle w:val="17"/>
              <w:bidi w:val="0"/>
              <w:rPr>
                <w:rFonts w:hint="eastAsia"/>
                <w:color w:val="auto"/>
                <w:lang w:val="zh-CN"/>
              </w:rPr>
            </w:pPr>
            <w:r>
              <w:rPr>
                <w:rFonts w:hint="eastAsia"/>
                <w:color w:val="auto"/>
              </w:rPr>
              <w:t>1175.64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noWrap w:val="0"/>
            <w:vAlign w:val="center"/>
          </w:tcPr>
          <w:p>
            <w:pPr>
              <w:pStyle w:val="17"/>
              <w:bidi w:val="0"/>
              <w:ind w:firstLine="0" w:firstLineChars="0"/>
              <w:rPr>
                <w:rFonts w:hint="eastAsia"/>
                <w:color w:val="auto"/>
                <w:lang w:val="zh-CN"/>
              </w:rPr>
            </w:pPr>
            <w:r>
              <w:rPr>
                <w:rFonts w:hint="eastAsia"/>
                <w:color w:val="auto"/>
                <w:lang w:val="en-US" w:eastAsia="zh-CN"/>
              </w:rPr>
              <w:t>设备用房</w:t>
            </w:r>
          </w:p>
        </w:tc>
        <w:tc>
          <w:tcPr>
            <w:tcW w:w="833" w:type="pct"/>
            <w:noWrap w:val="0"/>
            <w:vAlign w:val="top"/>
          </w:tcPr>
          <w:p>
            <w:pPr>
              <w:pStyle w:val="17"/>
              <w:bidi w:val="0"/>
              <w:rPr>
                <w:color w:val="auto"/>
              </w:rPr>
            </w:pPr>
            <w:r>
              <w:rPr>
                <w:rFonts w:hint="eastAsia"/>
                <w:color w:val="auto"/>
                <w:lang w:val="zh-CN"/>
              </w:rPr>
              <w:t>平方米</w:t>
            </w:r>
          </w:p>
        </w:tc>
        <w:tc>
          <w:tcPr>
            <w:tcW w:w="1521" w:type="dxa"/>
            <w:noWrap w:val="0"/>
            <w:vAlign w:val="center"/>
          </w:tcPr>
          <w:p>
            <w:pPr>
              <w:pStyle w:val="17"/>
              <w:bidi w:val="0"/>
              <w:ind w:firstLine="0" w:firstLineChars="0"/>
              <w:rPr>
                <w:rFonts w:hint="default" w:eastAsia="仿宋"/>
                <w:color w:val="auto"/>
                <w:lang w:val="en-US" w:eastAsia="zh-CN"/>
              </w:rPr>
            </w:pPr>
            <w:r>
              <w:rPr>
                <w:rFonts w:hint="eastAsia"/>
                <w:color w:val="auto"/>
                <w:lang w:val="en-US" w:eastAsia="zh-CN"/>
              </w:rPr>
              <w:t>190.00</w:t>
            </w:r>
          </w:p>
        </w:tc>
        <w:tc>
          <w:tcPr>
            <w:tcW w:w="1521" w:type="dxa"/>
            <w:noWrap w:val="0"/>
            <w:vAlign w:val="center"/>
          </w:tcPr>
          <w:p>
            <w:pPr>
              <w:pStyle w:val="17"/>
              <w:bidi w:val="0"/>
              <w:ind w:firstLine="0" w:firstLineChars="0"/>
              <w:rPr>
                <w:color w:val="auto"/>
              </w:rPr>
            </w:pPr>
            <w:r>
              <w:rPr>
                <w:rFonts w:hint="eastAsia"/>
                <w:color w:val="auto"/>
                <w:lang w:val="en-US" w:eastAsia="zh-CN"/>
              </w:rPr>
              <w:t>190.00</w:t>
            </w:r>
          </w:p>
        </w:tc>
        <w:tc>
          <w:tcPr>
            <w:tcW w:w="834" w:type="pct"/>
            <w:noWrap w:val="0"/>
            <w:vAlign w:val="top"/>
          </w:tcPr>
          <w:p>
            <w:pPr>
              <w:pStyle w:val="17"/>
              <w:bidi w:val="0"/>
              <w:rPr>
                <w:rFonts w:hint="eastAsia" w:eastAsia="仿宋"/>
                <w:color w:val="auto"/>
                <w:lang w:val="en-US" w:eastAsia="zh-CN"/>
              </w:rPr>
            </w:pPr>
            <w:r>
              <w:rPr>
                <w:rFonts w:hint="eastAsia"/>
                <w:color w:val="auto"/>
                <w:lang w:val="en-US" w:eastAsia="zh-CN"/>
              </w:rPr>
              <w:t>/</w:t>
            </w:r>
          </w:p>
        </w:tc>
        <w:tc>
          <w:tcPr>
            <w:tcW w:w="1518" w:type="dxa"/>
            <w:noWrap w:val="0"/>
            <w:vAlign w:val="center"/>
          </w:tcPr>
          <w:p>
            <w:pPr>
              <w:pStyle w:val="17"/>
              <w:bidi w:val="0"/>
              <w:ind w:firstLine="0" w:firstLineChars="0"/>
              <w:rPr>
                <w:rFonts w:hint="eastAsia"/>
                <w:color w:val="auto"/>
                <w:lang w:val="zh-CN"/>
              </w:rPr>
            </w:pPr>
            <w:r>
              <w:rPr>
                <w:rFonts w:hint="eastAsia"/>
                <w:color w:val="auto"/>
                <w:lang w:val="en-US" w:eastAsia="zh-CN"/>
              </w:rPr>
              <w:t>190.00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noWrap w:val="0"/>
            <w:vAlign w:val="center"/>
          </w:tcPr>
          <w:p>
            <w:pPr>
              <w:pStyle w:val="17"/>
              <w:bidi w:val="0"/>
              <w:ind w:firstLine="0" w:firstLineChars="0"/>
              <w:rPr>
                <w:rFonts w:hint="eastAsia"/>
                <w:color w:val="auto"/>
              </w:rPr>
            </w:pPr>
            <w:r>
              <w:rPr>
                <w:rFonts w:hint="eastAsia"/>
                <w:color w:val="auto"/>
              </w:rPr>
              <w:t>门卫</w:t>
            </w:r>
          </w:p>
        </w:tc>
        <w:tc>
          <w:tcPr>
            <w:tcW w:w="833" w:type="pct"/>
            <w:noWrap w:val="0"/>
            <w:vAlign w:val="top"/>
          </w:tcPr>
          <w:p>
            <w:pPr>
              <w:pStyle w:val="17"/>
              <w:bidi w:val="0"/>
              <w:rPr>
                <w:rFonts w:hint="eastAsia"/>
                <w:color w:val="auto"/>
                <w:lang w:val="zh-CN"/>
              </w:rPr>
            </w:pPr>
            <w:r>
              <w:rPr>
                <w:rFonts w:hint="eastAsia" w:ascii="Times New Roman"/>
                <w:color w:val="auto"/>
                <w:lang w:val="zh-CN"/>
              </w:rPr>
              <w:t>平方米</w:t>
            </w:r>
          </w:p>
        </w:tc>
        <w:tc>
          <w:tcPr>
            <w:tcW w:w="1521" w:type="dxa"/>
            <w:noWrap w:val="0"/>
            <w:vAlign w:val="center"/>
          </w:tcPr>
          <w:p>
            <w:pPr>
              <w:pStyle w:val="17"/>
              <w:bidi w:val="0"/>
              <w:ind w:firstLine="0" w:firstLineChars="0"/>
              <w:rPr>
                <w:rFonts w:hint="eastAsia"/>
                <w:color w:val="auto"/>
                <w:lang w:val="en-US" w:eastAsia="zh-CN"/>
              </w:rPr>
            </w:pPr>
            <w:r>
              <w:rPr>
                <w:rFonts w:hint="eastAsia"/>
                <w:color w:val="auto"/>
                <w:lang w:val="en-US" w:eastAsia="zh-CN"/>
              </w:rPr>
              <w:t>48.00</w:t>
            </w:r>
          </w:p>
        </w:tc>
        <w:tc>
          <w:tcPr>
            <w:tcW w:w="1521" w:type="dxa"/>
            <w:noWrap w:val="0"/>
            <w:vAlign w:val="center"/>
          </w:tcPr>
          <w:p>
            <w:pPr>
              <w:pStyle w:val="17"/>
              <w:bidi w:val="0"/>
              <w:ind w:firstLine="0" w:firstLineChars="0"/>
              <w:rPr>
                <w:rFonts w:hint="eastAsia"/>
                <w:color w:val="auto"/>
                <w:lang w:val="zh-CN"/>
              </w:rPr>
            </w:pPr>
            <w:r>
              <w:rPr>
                <w:rFonts w:hint="eastAsia"/>
                <w:color w:val="auto"/>
                <w:lang w:val="en-US" w:eastAsia="zh-CN"/>
              </w:rPr>
              <w:t>48.00</w:t>
            </w:r>
          </w:p>
        </w:tc>
        <w:tc>
          <w:tcPr>
            <w:tcW w:w="834" w:type="pct"/>
            <w:noWrap w:val="0"/>
            <w:vAlign w:val="top"/>
          </w:tcPr>
          <w:p>
            <w:pPr>
              <w:pStyle w:val="17"/>
              <w:bidi w:val="0"/>
              <w:rPr>
                <w:rFonts w:hint="eastAsia"/>
                <w:color w:val="auto"/>
                <w:lang w:val="en-US" w:eastAsia="zh-CN"/>
              </w:rPr>
            </w:pPr>
            <w:r>
              <w:rPr>
                <w:rFonts w:hint="eastAsia" w:ascii="Times New Roman" w:eastAsia="宋体"/>
                <w:color w:val="auto"/>
                <w:lang w:val="en-US" w:eastAsia="zh-CN"/>
              </w:rPr>
              <w:t>/</w:t>
            </w:r>
          </w:p>
        </w:tc>
        <w:tc>
          <w:tcPr>
            <w:tcW w:w="1518" w:type="dxa"/>
            <w:noWrap w:val="0"/>
            <w:vAlign w:val="center"/>
          </w:tcPr>
          <w:p>
            <w:pPr>
              <w:pStyle w:val="17"/>
              <w:bidi w:val="0"/>
              <w:ind w:firstLine="0" w:firstLineChars="0"/>
              <w:rPr>
                <w:rFonts w:hint="eastAsia"/>
                <w:color w:val="auto"/>
                <w:lang w:val="zh-CN"/>
              </w:rPr>
            </w:pPr>
            <w:r>
              <w:rPr>
                <w:rFonts w:hint="eastAsia"/>
                <w:color w:val="auto"/>
                <w:lang w:val="en-US" w:eastAsia="zh-CN"/>
              </w:rPr>
              <w:t>48.00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pPr>
              <w:pStyle w:val="17"/>
              <w:bidi w:val="0"/>
              <w:rPr>
                <w:rFonts w:hint="eastAsia"/>
                <w:color w:val="auto"/>
                <w:lang w:val="zh-CN"/>
              </w:rPr>
            </w:pPr>
            <w:r>
              <w:rPr>
                <w:rFonts w:hint="eastAsia"/>
                <w:color w:val="auto"/>
                <w:lang w:val="zh-CN"/>
              </w:rPr>
              <w:t>合计</w:t>
            </w:r>
          </w:p>
        </w:tc>
        <w:tc>
          <w:tcPr>
            <w:tcW w:w="833" w:type="pct"/>
            <w:noWrap w:val="0"/>
            <w:vAlign w:val="top"/>
          </w:tcPr>
          <w:p>
            <w:pPr>
              <w:pStyle w:val="17"/>
              <w:bidi w:val="0"/>
              <w:rPr>
                <w:rFonts w:hint="eastAsia"/>
                <w:color w:val="auto"/>
                <w:lang w:val="zh-CN"/>
              </w:rPr>
            </w:pPr>
            <w:r>
              <w:rPr>
                <w:rFonts w:hint="eastAsia"/>
                <w:color w:val="auto"/>
                <w:lang w:val="zh-CN"/>
              </w:rPr>
              <w:t>平方米</w:t>
            </w:r>
          </w:p>
        </w:tc>
        <w:tc>
          <w:tcPr>
            <w:tcW w:w="834" w:type="pct"/>
            <w:noWrap w:val="0"/>
            <w:vAlign w:val="top"/>
          </w:tcPr>
          <w:p>
            <w:pPr>
              <w:pStyle w:val="17"/>
              <w:bidi w:val="0"/>
              <w:rPr>
                <w:rFonts w:hint="eastAsia"/>
                <w:color w:val="auto"/>
                <w:lang w:val="zh-CN"/>
              </w:rPr>
            </w:pPr>
            <w:r>
              <w:rPr>
                <w:rFonts w:hint="eastAsia"/>
                <w:color w:val="auto"/>
                <w:lang w:val="zh-CN"/>
              </w:rPr>
              <w:t>43957.00</w:t>
            </w:r>
          </w:p>
        </w:tc>
        <w:tc>
          <w:tcPr>
            <w:tcW w:w="834" w:type="pct"/>
            <w:noWrap w:val="0"/>
            <w:vAlign w:val="top"/>
          </w:tcPr>
          <w:p>
            <w:pPr>
              <w:pStyle w:val="17"/>
              <w:bidi w:val="0"/>
              <w:rPr>
                <w:rFonts w:hint="eastAsia"/>
                <w:color w:val="auto"/>
                <w:lang w:val="zh-CN"/>
              </w:rPr>
            </w:pPr>
            <w:r>
              <w:rPr>
                <w:rFonts w:hint="eastAsia"/>
                <w:color w:val="auto"/>
                <w:lang w:val="zh-CN"/>
              </w:rPr>
              <w:t>42921.04</w:t>
            </w:r>
          </w:p>
        </w:tc>
        <w:tc>
          <w:tcPr>
            <w:tcW w:w="834" w:type="pct"/>
            <w:noWrap w:val="0"/>
            <w:vAlign w:val="top"/>
          </w:tcPr>
          <w:p>
            <w:pPr>
              <w:pStyle w:val="17"/>
              <w:bidi w:val="0"/>
              <w:rPr>
                <w:rFonts w:hint="eastAsia"/>
                <w:color w:val="auto"/>
                <w:lang w:val="zh-CN"/>
              </w:rPr>
            </w:pPr>
            <w:r>
              <w:rPr>
                <w:rFonts w:hint="eastAsia"/>
                <w:color w:val="auto"/>
                <w:lang w:val="zh-CN"/>
              </w:rPr>
              <w:t>1035.96</w:t>
            </w:r>
          </w:p>
        </w:tc>
        <w:tc>
          <w:tcPr>
            <w:tcW w:w="834" w:type="pct"/>
            <w:noWrap w:val="0"/>
            <w:vAlign w:val="top"/>
          </w:tcPr>
          <w:p>
            <w:pPr>
              <w:pStyle w:val="17"/>
              <w:bidi w:val="0"/>
              <w:rPr>
                <w:rFonts w:hint="eastAsia"/>
                <w:color w:val="auto"/>
                <w:lang w:val="zh-CN"/>
              </w:rPr>
            </w:pPr>
            <w:r>
              <w:rPr>
                <w:rFonts w:hint="eastAsia"/>
                <w:color w:val="auto"/>
                <w:lang w:val="zh-CN"/>
              </w:rPr>
              <w:t>15838.72</w:t>
            </w:r>
          </w:p>
        </w:tc>
      </w:tr>
    </w:tbl>
    <w:p>
      <w:pPr>
        <w:bidi w:val="0"/>
        <w:rPr>
          <w:color w:val="auto"/>
        </w:rPr>
      </w:pPr>
    </w:p>
    <w:p>
      <w:pPr>
        <w:pStyle w:val="2"/>
        <w:bidi w:val="0"/>
        <w:rPr>
          <w:color w:val="auto"/>
        </w:rPr>
      </w:pPr>
      <w:r>
        <w:rPr>
          <w:rFonts w:hint="default"/>
          <w:color w:val="auto"/>
          <w:lang w:val="en-US" w:eastAsia="zh-CN"/>
        </w:rPr>
        <w:br w:type="column"/>
      </w:r>
      <w:r>
        <w:rPr>
          <w:rFonts w:hint="eastAsia"/>
          <w:color w:val="auto"/>
          <w:lang w:val="en-US" w:eastAsia="zh-CN"/>
        </w:rPr>
        <w:t>总平面设计说明</w:t>
      </w:r>
    </w:p>
    <w:p>
      <w:pPr>
        <w:pStyle w:val="3"/>
        <w:bidi w:val="0"/>
        <w:rPr>
          <w:rFonts w:hint="default"/>
          <w:color w:val="auto"/>
          <w:lang w:val="en-US" w:eastAsia="zh-CN"/>
        </w:rPr>
      </w:pPr>
      <w:r>
        <w:rPr>
          <w:rFonts w:hint="eastAsia"/>
          <w:color w:val="auto"/>
          <w:lang w:val="en-US" w:eastAsia="zh-CN"/>
        </w:rPr>
        <w:t>设计依据</w:t>
      </w:r>
    </w:p>
    <w:p>
      <w:pPr>
        <w:bidi w:val="0"/>
        <w:rPr>
          <w:rFonts w:hint="default"/>
          <w:color w:val="auto"/>
          <w:lang w:val="en-US" w:eastAsia="zh-CN"/>
        </w:rPr>
      </w:pPr>
      <w:r>
        <w:rPr>
          <w:rFonts w:hint="default"/>
          <w:color w:val="auto"/>
          <w:lang w:val="en-US" w:eastAsia="zh-CN"/>
        </w:rPr>
        <w:t>《民用建筑设计统一标准》（GB50352-2019）；</w:t>
      </w:r>
    </w:p>
    <w:p>
      <w:pPr>
        <w:bidi w:val="0"/>
        <w:rPr>
          <w:rFonts w:hint="default"/>
          <w:color w:val="auto"/>
          <w:lang w:val="en-US" w:eastAsia="zh-CN"/>
        </w:rPr>
      </w:pPr>
      <w:r>
        <w:rPr>
          <w:rFonts w:hint="default"/>
          <w:color w:val="auto"/>
          <w:lang w:val="en-US" w:eastAsia="zh-CN"/>
        </w:rPr>
        <w:t>《工业企业总平面设计规范》GB50187-2012</w:t>
      </w:r>
    </w:p>
    <w:p>
      <w:pPr>
        <w:bidi w:val="0"/>
        <w:rPr>
          <w:rFonts w:hint="default"/>
          <w:color w:val="auto"/>
          <w:lang w:val="en-US" w:eastAsia="zh-CN"/>
        </w:rPr>
      </w:pPr>
      <w:r>
        <w:rPr>
          <w:rFonts w:hint="default"/>
          <w:color w:val="auto"/>
          <w:lang w:val="en-US" w:eastAsia="zh-CN"/>
        </w:rPr>
        <w:t>《建筑工程设计文件编制深度规定》2008年版；</w:t>
      </w:r>
    </w:p>
    <w:p>
      <w:pPr>
        <w:bidi w:val="0"/>
        <w:rPr>
          <w:rFonts w:hint="default"/>
          <w:color w:val="auto"/>
          <w:lang w:val="en-US" w:eastAsia="zh-CN"/>
        </w:rPr>
      </w:pPr>
      <w:r>
        <w:rPr>
          <w:rFonts w:hint="default"/>
          <w:color w:val="auto"/>
          <w:lang w:val="en-US" w:eastAsia="zh-CN"/>
        </w:rPr>
        <w:t>《工程建设标准强制性条文[房屋建筑部分]》2013年版；</w:t>
      </w:r>
    </w:p>
    <w:p>
      <w:pPr>
        <w:bidi w:val="0"/>
        <w:rPr>
          <w:rFonts w:hint="default"/>
          <w:color w:val="auto"/>
          <w:lang w:val="en-US" w:eastAsia="zh-CN"/>
        </w:rPr>
      </w:pPr>
      <w:r>
        <w:rPr>
          <w:rFonts w:hint="default"/>
          <w:color w:val="auto"/>
          <w:lang w:val="en-US" w:eastAsia="zh-CN"/>
        </w:rPr>
        <w:t>《建筑设计防火规范》（GB50016—2014）（2018年版）；</w:t>
      </w:r>
    </w:p>
    <w:p>
      <w:pPr>
        <w:bidi w:val="0"/>
        <w:rPr>
          <w:rFonts w:hint="default"/>
          <w:color w:val="auto"/>
          <w:lang w:val="en-US" w:eastAsia="zh-CN"/>
        </w:rPr>
      </w:pPr>
      <w:r>
        <w:rPr>
          <w:rFonts w:hint="default"/>
          <w:color w:val="auto"/>
          <w:lang w:val="en-US" w:eastAsia="zh-CN"/>
        </w:rPr>
        <w:t>《建筑与市政工程无障碍通用规范》GB55019-2021；</w:t>
      </w:r>
    </w:p>
    <w:p>
      <w:pPr>
        <w:bidi w:val="0"/>
        <w:rPr>
          <w:rFonts w:hint="default"/>
          <w:color w:val="auto"/>
          <w:lang w:val="en-US" w:eastAsia="zh-CN"/>
        </w:rPr>
      </w:pPr>
      <w:r>
        <w:rPr>
          <w:rFonts w:hint="default"/>
          <w:color w:val="auto"/>
          <w:lang w:val="en-US" w:eastAsia="zh-CN"/>
        </w:rPr>
        <w:t>《总图制图标准》GB/T50103-2010；</w:t>
      </w:r>
    </w:p>
    <w:p>
      <w:pPr>
        <w:bidi w:val="0"/>
        <w:rPr>
          <w:rFonts w:hint="default"/>
          <w:color w:val="auto"/>
          <w:lang w:val="en-US" w:eastAsia="zh-CN"/>
        </w:rPr>
      </w:pPr>
      <w:r>
        <w:rPr>
          <w:rFonts w:hint="default"/>
          <w:color w:val="auto"/>
          <w:lang w:val="en-US" w:eastAsia="zh-CN"/>
        </w:rPr>
        <w:t>《工业项目建设用地控制指标》国土资发〔2008〕24</w:t>
      </w:r>
    </w:p>
    <w:p>
      <w:pPr>
        <w:bidi w:val="0"/>
        <w:rPr>
          <w:rFonts w:hint="default"/>
          <w:color w:val="auto"/>
          <w:lang w:val="en-US" w:eastAsia="zh-CN"/>
        </w:rPr>
      </w:pPr>
      <w:r>
        <w:rPr>
          <w:rFonts w:hint="default"/>
          <w:color w:val="auto"/>
          <w:lang w:val="en-US" w:eastAsia="zh-CN"/>
        </w:rPr>
        <w:t>国家及地区相关现行法规及规范。</w:t>
      </w:r>
    </w:p>
    <w:p>
      <w:pPr>
        <w:pStyle w:val="3"/>
        <w:bidi w:val="0"/>
        <w:rPr>
          <w:rFonts w:hint="default"/>
          <w:color w:val="auto"/>
          <w:lang w:val="en-US" w:eastAsia="zh-CN"/>
        </w:rPr>
      </w:pPr>
      <w:r>
        <w:rPr>
          <w:rFonts w:hint="default"/>
          <w:color w:val="auto"/>
          <w:lang w:val="en-US" w:eastAsia="zh-CN"/>
        </w:rPr>
        <w:t>坐标及高程系统</w:t>
      </w:r>
    </w:p>
    <w:p>
      <w:pPr>
        <w:bidi w:val="0"/>
        <w:rPr>
          <w:rFonts w:hint="default"/>
          <w:color w:val="auto"/>
          <w:lang w:val="en-US" w:eastAsia="zh-CN"/>
        </w:rPr>
      </w:pPr>
      <w:r>
        <w:rPr>
          <w:rFonts w:hint="default"/>
          <w:color w:val="auto"/>
          <w:lang w:val="en-US" w:eastAsia="zh-CN"/>
        </w:rPr>
        <w:t>1.坐标系统——2000国家大地坐标系；</w:t>
      </w:r>
    </w:p>
    <w:p>
      <w:pPr>
        <w:bidi w:val="0"/>
        <w:rPr>
          <w:rFonts w:hint="default"/>
          <w:color w:val="auto"/>
          <w:lang w:val="en-US" w:eastAsia="zh-CN"/>
        </w:rPr>
      </w:pPr>
      <w:r>
        <w:rPr>
          <w:rFonts w:hint="default"/>
          <w:color w:val="auto"/>
          <w:lang w:val="en-US" w:eastAsia="zh-CN"/>
        </w:rPr>
        <w:t>2.高程系统——1985国家高程基准。</w:t>
      </w:r>
    </w:p>
    <w:p>
      <w:pPr>
        <w:pStyle w:val="3"/>
        <w:bidi w:val="0"/>
        <w:rPr>
          <w:color w:val="auto"/>
        </w:rPr>
      </w:pPr>
      <w:r>
        <w:rPr>
          <w:rFonts w:hint="eastAsia"/>
          <w:color w:val="auto"/>
          <w:lang w:val="en-US" w:eastAsia="zh-CN"/>
        </w:rPr>
        <w:t>场地概述</w:t>
      </w:r>
    </w:p>
    <w:p>
      <w:pPr>
        <w:pStyle w:val="4"/>
        <w:bidi w:val="0"/>
        <w:rPr>
          <w:color w:val="auto"/>
        </w:rPr>
      </w:pPr>
      <w:r>
        <w:rPr>
          <w:rFonts w:hint="eastAsia"/>
          <w:color w:val="auto"/>
          <w:lang w:val="en-US" w:eastAsia="zh-CN"/>
        </w:rPr>
        <w:t>地理位置</w:t>
      </w:r>
    </w:p>
    <w:p>
      <w:pPr>
        <w:bidi w:val="0"/>
        <w:rPr>
          <w:rFonts w:hint="eastAsia"/>
          <w:color w:val="auto"/>
          <w:lang w:val="en-US" w:eastAsia="zh-CN"/>
        </w:rPr>
      </w:pPr>
      <w:r>
        <w:rPr>
          <w:rFonts w:hint="eastAsia"/>
          <w:color w:val="auto"/>
          <w:lang w:val="en-US" w:eastAsia="zh-CN"/>
        </w:rPr>
        <w:t>项目建设地点位于</w:t>
      </w:r>
      <w:r>
        <w:rPr>
          <w:rFonts w:hint="eastAsia"/>
          <w:color w:val="auto"/>
        </w:rPr>
        <w:t>汨罗市新市镇新阳社区，清云路与天立路交汇处东南侧地块</w:t>
      </w:r>
      <w:r>
        <w:rPr>
          <w:rFonts w:hint="eastAsia"/>
          <w:color w:val="auto"/>
          <w:lang w:eastAsia="zh-CN"/>
        </w:rPr>
        <w:t>，</w:t>
      </w:r>
      <w:r>
        <w:rPr>
          <w:rFonts w:hint="eastAsia"/>
          <w:color w:val="auto"/>
        </w:rPr>
        <w:t>毗邻平益高速，交通便利，利于产业高速发展。</w:t>
      </w:r>
    </w:p>
    <w:p>
      <w:pPr>
        <w:bidi w:val="0"/>
        <w:rPr>
          <w:rFonts w:hint="eastAsia"/>
          <w:color w:val="auto"/>
          <w:lang w:eastAsia="zh-CN"/>
        </w:rPr>
      </w:pPr>
      <w:r>
        <w:rPr>
          <w:rFonts w:hint="eastAsia"/>
          <w:color w:val="auto"/>
          <w:lang w:eastAsia="zh-CN"/>
        </w:rPr>
        <w:t>本项目占地</w:t>
      </w:r>
      <w:r>
        <w:rPr>
          <w:rFonts w:hint="eastAsia"/>
          <w:color w:val="auto"/>
          <w:lang w:val="en-US" w:eastAsia="zh-CN"/>
        </w:rPr>
        <w:t>62.23</w:t>
      </w:r>
      <w:r>
        <w:rPr>
          <w:rFonts w:hint="eastAsia"/>
          <w:color w:val="auto"/>
          <w:lang w:eastAsia="zh-CN"/>
        </w:rPr>
        <w:t>亩，用地性质为工业用地，整体用地性质较为简单，易于后期建设开发。</w:t>
      </w:r>
    </w:p>
    <w:p>
      <w:pPr>
        <w:bidi w:val="0"/>
        <w:rPr>
          <w:rFonts w:hint="eastAsia"/>
          <w:color w:val="auto"/>
          <w:lang w:eastAsia="zh-CN"/>
        </w:rPr>
      </w:pPr>
      <w:r>
        <w:rPr>
          <w:rFonts w:hint="eastAsia"/>
          <w:color w:val="auto"/>
          <w:lang w:eastAsia="zh-CN"/>
        </w:rPr>
        <w:t>现状场地已平整，高程差距、坡度均不大，建设条件较好，具备优越的地理条件，并且在原材料和人力资源、运输等各方面都有于项目的建设实施，完全符合以上对项目选址的原则要求。</w:t>
      </w:r>
    </w:p>
    <w:p>
      <w:pPr>
        <w:pStyle w:val="3"/>
        <w:bidi w:val="0"/>
        <w:rPr>
          <w:color w:val="auto"/>
        </w:rPr>
      </w:pPr>
      <w:r>
        <w:rPr>
          <w:rFonts w:hint="eastAsia"/>
          <w:color w:val="auto"/>
          <w:lang w:val="en-US" w:eastAsia="zh-CN"/>
        </w:rPr>
        <w:t>总平面布置原则</w:t>
      </w:r>
    </w:p>
    <w:p>
      <w:pPr>
        <w:bidi w:val="0"/>
        <w:rPr>
          <w:rFonts w:hint="eastAsia"/>
          <w:color w:val="auto"/>
        </w:rPr>
      </w:pPr>
      <w:r>
        <w:rPr>
          <w:rFonts w:hint="eastAsia"/>
          <w:color w:val="auto"/>
        </w:rPr>
        <w:t>1、满足城市规划的需要。</w:t>
      </w:r>
    </w:p>
    <w:p>
      <w:pPr>
        <w:bidi w:val="0"/>
        <w:rPr>
          <w:rFonts w:hint="eastAsia"/>
          <w:color w:val="auto"/>
        </w:rPr>
      </w:pPr>
      <w:r>
        <w:rPr>
          <w:rFonts w:hint="eastAsia"/>
          <w:color w:val="auto"/>
        </w:rPr>
        <w:t>2、符合</w:t>
      </w:r>
      <w:r>
        <w:rPr>
          <w:rFonts w:hint="eastAsia"/>
          <w:color w:val="auto"/>
          <w:lang w:val="en-US" w:eastAsia="zh-CN"/>
        </w:rPr>
        <w:t>产业开发</w:t>
      </w:r>
      <w:r>
        <w:rPr>
          <w:rFonts w:hint="eastAsia"/>
          <w:color w:val="auto"/>
        </w:rPr>
        <w:t>区发展的要求。</w:t>
      </w:r>
    </w:p>
    <w:p>
      <w:pPr>
        <w:bidi w:val="0"/>
        <w:rPr>
          <w:rFonts w:hint="eastAsia"/>
          <w:color w:val="auto"/>
        </w:rPr>
      </w:pPr>
      <w:r>
        <w:rPr>
          <w:rFonts w:hint="eastAsia"/>
          <w:color w:val="auto"/>
        </w:rPr>
        <w:t>3、满足功能分区的要求，各种辅助和附属设施应尽可能地靠近所服务的建筑物，各种大负荷动力供应设施应尽量临近负荷中心，节约用电，达到节能减排的目的。</w:t>
      </w:r>
    </w:p>
    <w:p>
      <w:pPr>
        <w:bidi w:val="0"/>
        <w:rPr>
          <w:rFonts w:hint="eastAsia"/>
          <w:color w:val="auto"/>
        </w:rPr>
      </w:pPr>
      <w:r>
        <w:rPr>
          <w:rFonts w:hint="eastAsia"/>
          <w:color w:val="auto"/>
        </w:rPr>
        <w:t>4、贯彻执行国家经济建设方针、政策，满足环保消防、计量、劳动安全卫生要求，做到技术先进、经济合理、安全实用。严格执行国家现行的标准规范，并满足防火、安全、卫生等要求。</w:t>
      </w:r>
    </w:p>
    <w:p>
      <w:pPr>
        <w:bidi w:val="0"/>
        <w:rPr>
          <w:rFonts w:hint="eastAsia"/>
          <w:color w:val="auto"/>
        </w:rPr>
      </w:pPr>
      <w:r>
        <w:rPr>
          <w:rFonts w:hint="eastAsia"/>
          <w:color w:val="auto"/>
        </w:rPr>
        <w:t>5、结合当地气象条件，使建筑物具有良好的朝向、采光和自然通风条件，并有利于环境保护。</w:t>
      </w:r>
    </w:p>
    <w:p>
      <w:pPr>
        <w:bidi w:val="0"/>
        <w:rPr>
          <w:color w:val="auto"/>
        </w:rPr>
      </w:pPr>
      <w:r>
        <w:rPr>
          <w:rFonts w:hint="eastAsia"/>
          <w:color w:val="auto"/>
        </w:rPr>
        <w:t>6、为施工和企业管理的方便创造条件。</w:t>
      </w:r>
    </w:p>
    <w:p>
      <w:pPr>
        <w:pStyle w:val="3"/>
        <w:bidi w:val="0"/>
        <w:rPr>
          <w:rFonts w:hint="default"/>
          <w:color w:val="auto"/>
          <w:lang w:val="en-US" w:eastAsia="zh-CN"/>
        </w:rPr>
      </w:pPr>
      <w:r>
        <w:rPr>
          <w:rFonts w:hint="default"/>
          <w:color w:val="auto"/>
          <w:lang w:val="en-US" w:eastAsia="zh-CN"/>
        </w:rPr>
        <w:t>总平面布置</w:t>
      </w:r>
    </w:p>
    <w:p>
      <w:pPr>
        <w:bidi w:val="0"/>
        <w:rPr>
          <w:rFonts w:hint="eastAsia"/>
          <w:color w:val="auto"/>
          <w:lang w:val="en-US" w:eastAsia="zh-CN"/>
        </w:rPr>
      </w:pPr>
      <w:r>
        <w:rPr>
          <w:rFonts w:hint="eastAsia"/>
          <w:color w:val="auto"/>
          <w:lang w:val="en-US" w:eastAsia="zh-CN"/>
        </w:rPr>
        <w:t>根据产业开发区特点、建筑物间距、日照和建筑设计防火规范的要求，做如下布置：</w:t>
      </w:r>
    </w:p>
    <w:p>
      <w:pPr>
        <w:bidi w:val="0"/>
        <w:rPr>
          <w:rFonts w:hint="eastAsia"/>
          <w:color w:val="auto"/>
        </w:rPr>
      </w:pPr>
      <w:r>
        <w:rPr>
          <w:rFonts w:hint="eastAsia"/>
          <w:color w:val="auto"/>
          <w:lang w:val="en-US" w:eastAsia="zh-CN"/>
        </w:rPr>
        <w:t>1、</w:t>
      </w:r>
      <w:r>
        <w:rPr>
          <w:rFonts w:hint="eastAsia"/>
          <w:color w:val="auto"/>
        </w:rPr>
        <w:t>根据各建筑物的功能不同，将整个</w:t>
      </w:r>
      <w:r>
        <w:rPr>
          <w:rFonts w:hint="eastAsia"/>
          <w:color w:val="auto"/>
          <w:lang w:val="en-US" w:eastAsia="zh-CN"/>
        </w:rPr>
        <w:t>场地</w:t>
      </w:r>
      <w:r>
        <w:rPr>
          <w:rFonts w:hint="eastAsia"/>
          <w:color w:val="auto"/>
        </w:rPr>
        <w:t>分为</w:t>
      </w:r>
      <w:r>
        <w:rPr>
          <w:rFonts w:hint="eastAsia"/>
          <w:color w:val="auto"/>
          <w:lang w:val="en-US" w:eastAsia="zh-CN"/>
        </w:rPr>
        <w:t>生产区</w:t>
      </w:r>
      <w:r>
        <w:rPr>
          <w:rFonts w:hint="eastAsia"/>
          <w:color w:val="auto"/>
        </w:rPr>
        <w:t>及办公生活区等</w:t>
      </w:r>
      <w:r>
        <w:rPr>
          <w:rFonts w:hint="eastAsia"/>
          <w:color w:val="auto"/>
          <w:lang w:val="en-US" w:eastAsia="zh-CN"/>
        </w:rPr>
        <w:t>两个</w:t>
      </w:r>
      <w:r>
        <w:rPr>
          <w:rFonts w:hint="eastAsia"/>
          <w:color w:val="auto"/>
        </w:rPr>
        <w:t>功能分区。</w:t>
      </w:r>
      <w:r>
        <w:rPr>
          <w:rFonts w:hint="eastAsia"/>
          <w:color w:val="auto"/>
          <w:lang w:val="en-US" w:eastAsia="zh-CN"/>
        </w:rPr>
        <w:t>地块南侧布置3栋三层标准厂房和1栋二层标准厂房，与正威再生资源产业园东侧毗邻为生产区，北侧布置2栋二层配套用房，一栋为办公楼，一栋为宿舍楼，为办公生活区。各功能分区根据生产流程依次排列，既相互独立又联系紧密。</w:t>
      </w:r>
    </w:p>
    <w:p>
      <w:pPr>
        <w:bidi w:val="0"/>
        <w:rPr>
          <w:rFonts w:hint="eastAsia"/>
          <w:color w:val="auto"/>
        </w:rPr>
      </w:pPr>
      <w:r>
        <w:rPr>
          <w:rFonts w:hint="eastAsia"/>
          <w:color w:val="auto"/>
          <w:lang w:val="en-US" w:eastAsia="zh-CN"/>
        </w:rPr>
        <w:t>2、项目东侧设两个出入口与外部道路新市南路连接，其中1个出入口跟现状正威再生资源产业园共用。在场地内设置9米宽道路相互连通形成环状，厂房四周均能车行到达，局部厂房至少保证长边有消防车到达，满足消防、救护抗灾、避灾等要求，方便车辆通行。</w:t>
      </w:r>
    </w:p>
    <w:p>
      <w:pPr>
        <w:bidi w:val="0"/>
        <w:rPr>
          <w:rFonts w:hint="default"/>
          <w:color w:val="auto"/>
          <w:lang w:val="en-US" w:eastAsia="zh-CN"/>
        </w:rPr>
      </w:pPr>
      <w:r>
        <w:rPr>
          <w:rFonts w:hint="default"/>
          <w:color w:val="auto"/>
          <w:lang w:val="en-US" w:eastAsia="zh-CN"/>
        </w:rPr>
        <w:t>3、为考虑</w:t>
      </w:r>
      <w:r>
        <w:rPr>
          <w:rFonts w:hint="eastAsia"/>
          <w:color w:val="auto"/>
          <w:lang w:val="en-US" w:eastAsia="zh-CN"/>
        </w:rPr>
        <w:t>产业区</w:t>
      </w:r>
      <w:r>
        <w:rPr>
          <w:rFonts w:hint="default"/>
          <w:color w:val="auto"/>
          <w:lang w:val="en-US" w:eastAsia="zh-CN"/>
        </w:rPr>
        <w:t>的便利性，在新市南路设置大车停车场、</w:t>
      </w:r>
      <w:r>
        <w:rPr>
          <w:rFonts w:hint="eastAsia"/>
          <w:color w:val="auto"/>
          <w:lang w:val="en-US" w:eastAsia="zh-CN"/>
        </w:rPr>
        <w:t>门卫</w:t>
      </w:r>
      <w:r>
        <w:rPr>
          <w:rFonts w:hint="default"/>
          <w:color w:val="auto"/>
          <w:lang w:val="en-US" w:eastAsia="zh-CN"/>
        </w:rPr>
        <w:t>等附属用房及配套场地，满足</w:t>
      </w:r>
      <w:r>
        <w:rPr>
          <w:rFonts w:hint="eastAsia"/>
          <w:color w:val="auto"/>
          <w:lang w:val="en-US" w:eastAsia="zh-CN"/>
        </w:rPr>
        <w:t>大车</w:t>
      </w:r>
      <w:r>
        <w:rPr>
          <w:rFonts w:hint="default"/>
          <w:color w:val="auto"/>
          <w:lang w:val="en-US" w:eastAsia="zh-CN"/>
        </w:rPr>
        <w:t>进出时的流程需求。</w:t>
      </w:r>
    </w:p>
    <w:p>
      <w:pPr>
        <w:bidi w:val="0"/>
        <w:rPr>
          <w:rFonts w:hint="default"/>
          <w:color w:val="auto"/>
          <w:lang w:val="en-US" w:eastAsia="zh-CN"/>
        </w:rPr>
      </w:pPr>
      <w:r>
        <w:rPr>
          <w:rFonts w:hint="eastAsia"/>
          <w:color w:val="auto"/>
          <w:lang w:val="en-US" w:eastAsia="zh-CN"/>
        </w:rPr>
        <w:t>4</w:t>
      </w:r>
      <w:r>
        <w:rPr>
          <w:rFonts w:hint="default"/>
          <w:color w:val="auto"/>
          <w:lang w:val="en-US" w:eastAsia="zh-CN"/>
        </w:rPr>
        <w:t>、根据</w:t>
      </w:r>
      <w:r>
        <w:rPr>
          <w:rFonts w:hint="eastAsia"/>
          <w:color w:val="auto"/>
          <w:lang w:val="en-US" w:eastAsia="zh-CN"/>
        </w:rPr>
        <w:t>园</w:t>
      </w:r>
      <w:r>
        <w:rPr>
          <w:rFonts w:hint="default"/>
          <w:color w:val="auto"/>
          <w:lang w:val="en-US" w:eastAsia="zh-CN"/>
        </w:rPr>
        <w:t>区外部道路特点，在</w:t>
      </w:r>
      <w:r>
        <w:rPr>
          <w:rFonts w:hint="eastAsia"/>
          <w:color w:val="auto"/>
          <w:lang w:val="en-US" w:eastAsia="zh-CN"/>
        </w:rPr>
        <w:t>出入</w:t>
      </w:r>
      <w:r>
        <w:rPr>
          <w:rFonts w:hint="default"/>
          <w:color w:val="auto"/>
          <w:lang w:val="en-US" w:eastAsia="zh-CN"/>
        </w:rPr>
        <w:t>口处设置安全警示牌、车辆减速带等交通安全措施。</w:t>
      </w:r>
    </w:p>
    <w:p>
      <w:pPr>
        <w:pStyle w:val="3"/>
        <w:bidi w:val="0"/>
        <w:rPr>
          <w:color w:val="auto"/>
        </w:rPr>
      </w:pPr>
      <w:r>
        <w:rPr>
          <w:rFonts w:hint="eastAsia"/>
          <w:color w:val="auto"/>
          <w:lang w:val="en-US" w:eastAsia="zh-CN"/>
        </w:rPr>
        <w:t>竖向设计</w:t>
      </w:r>
    </w:p>
    <w:p>
      <w:pPr>
        <w:bidi w:val="0"/>
        <w:rPr>
          <w:rFonts w:hint="default"/>
          <w:color w:val="auto"/>
          <w:lang w:val="en-US" w:eastAsia="zh-CN"/>
        </w:rPr>
      </w:pPr>
      <w:r>
        <w:rPr>
          <w:rFonts w:hint="default"/>
          <w:color w:val="auto"/>
          <w:lang w:val="en-US" w:eastAsia="zh-CN"/>
        </w:rPr>
        <w:t>项目区现状用地内部地形高程不大，竖向设计根据地块现有地形标高及排水放坡的要求，竖向布置尽量利用现场标高，以确保减少土方开挖量和场地内部道路与项目区外部道路的顺利衔接。</w:t>
      </w:r>
    </w:p>
    <w:p>
      <w:pPr>
        <w:bidi w:val="0"/>
        <w:rPr>
          <w:rFonts w:hint="default"/>
          <w:color w:val="auto"/>
          <w:lang w:val="en-US" w:eastAsia="zh-CN"/>
        </w:rPr>
      </w:pPr>
      <w:r>
        <w:rPr>
          <w:rFonts w:hint="default"/>
          <w:color w:val="auto"/>
          <w:lang w:val="en-US" w:eastAsia="zh-CN"/>
        </w:rPr>
        <w:t>规划在尊重原有地形地貌的前提下，必须满足厂房对场地的要求，满足厂房的建设要求及交通要求。并对接项目区周边供电、供水、排水、污水排放等配套工程。</w:t>
      </w:r>
    </w:p>
    <w:p>
      <w:pPr>
        <w:bidi w:val="0"/>
        <w:rPr>
          <w:rFonts w:hint="default"/>
          <w:color w:val="auto"/>
          <w:lang w:val="en-US" w:eastAsia="zh-CN"/>
        </w:rPr>
      </w:pPr>
      <w:r>
        <w:rPr>
          <w:rFonts w:hint="default"/>
          <w:color w:val="auto"/>
          <w:lang w:val="en-US" w:eastAsia="zh-CN"/>
        </w:rPr>
        <w:t>本项目以南入口（正威再生资源产业园大门）为起点，从南往北按0.3%到1%的坡度进行竖向设计。园区东西向按0.2%到0.6%的坡度进行竖向设计具体详细竖向设计详见规划总平面图。</w:t>
      </w:r>
    </w:p>
    <w:p>
      <w:pPr>
        <w:pStyle w:val="3"/>
        <w:bidi w:val="0"/>
        <w:rPr>
          <w:color w:val="auto"/>
        </w:rPr>
      </w:pPr>
      <w:r>
        <w:rPr>
          <w:rFonts w:hint="eastAsia"/>
          <w:color w:val="auto"/>
          <w:lang w:val="en-US" w:eastAsia="zh-CN"/>
        </w:rPr>
        <w:t>交通组织</w:t>
      </w:r>
    </w:p>
    <w:p>
      <w:pPr>
        <w:pStyle w:val="4"/>
        <w:bidi w:val="0"/>
        <w:rPr>
          <w:rFonts w:hint="default"/>
          <w:color w:val="auto"/>
          <w:lang w:val="en-US" w:eastAsia="zh-CN"/>
        </w:rPr>
      </w:pPr>
      <w:r>
        <w:rPr>
          <w:rFonts w:hint="default"/>
          <w:color w:val="auto"/>
          <w:lang w:val="en-US" w:eastAsia="zh-CN"/>
        </w:rPr>
        <w:t>设计原则：</w:t>
      </w:r>
    </w:p>
    <w:p>
      <w:pPr>
        <w:bidi w:val="0"/>
        <w:rPr>
          <w:rFonts w:hint="default"/>
          <w:color w:val="auto"/>
          <w:lang w:val="en-US" w:eastAsia="zh-CN"/>
        </w:rPr>
      </w:pPr>
      <w:r>
        <w:rPr>
          <w:rFonts w:hint="default"/>
          <w:color w:val="auto"/>
          <w:lang w:val="en-US" w:eastAsia="zh-CN"/>
        </w:rPr>
        <w:t>1、以确保交通环境为前提，协调好内部交通与外部交通之间的关系。</w:t>
      </w:r>
    </w:p>
    <w:p>
      <w:pPr>
        <w:bidi w:val="0"/>
        <w:rPr>
          <w:rFonts w:hint="default"/>
          <w:color w:val="auto"/>
          <w:lang w:val="en-US" w:eastAsia="zh-CN"/>
        </w:rPr>
      </w:pPr>
      <w:r>
        <w:rPr>
          <w:rFonts w:hint="default"/>
          <w:color w:val="auto"/>
          <w:lang w:val="en-US" w:eastAsia="zh-CN"/>
        </w:rPr>
        <w:t>2、保证效率的同时尽可能实施人车分流，人流、货物流线尽量减少相互干扰，建立安全的区域交通环境。</w:t>
      </w:r>
    </w:p>
    <w:p>
      <w:pPr>
        <w:pStyle w:val="4"/>
        <w:bidi w:val="0"/>
        <w:rPr>
          <w:rFonts w:hint="default"/>
          <w:color w:val="auto"/>
          <w:lang w:val="en-US" w:eastAsia="zh-CN"/>
        </w:rPr>
      </w:pPr>
      <w:r>
        <w:rPr>
          <w:rFonts w:hint="default"/>
          <w:color w:val="auto"/>
          <w:lang w:val="en-US" w:eastAsia="zh-CN"/>
        </w:rPr>
        <w:t>实施方案</w:t>
      </w:r>
    </w:p>
    <w:p>
      <w:pPr>
        <w:bidi w:val="0"/>
        <w:rPr>
          <w:rFonts w:hint="default"/>
          <w:color w:val="auto"/>
          <w:lang w:val="en-US" w:eastAsia="zh-CN"/>
        </w:rPr>
      </w:pPr>
      <w:r>
        <w:rPr>
          <w:rFonts w:hint="default"/>
          <w:color w:val="auto"/>
          <w:lang w:val="en-US" w:eastAsia="zh-CN"/>
        </w:rPr>
        <w:t>1、在</w:t>
      </w:r>
      <w:r>
        <w:rPr>
          <w:rFonts w:hint="eastAsia"/>
          <w:color w:val="auto"/>
          <w:lang w:val="en-US" w:eastAsia="zh-CN"/>
        </w:rPr>
        <w:t>园</w:t>
      </w:r>
      <w:r>
        <w:rPr>
          <w:rFonts w:hint="default"/>
          <w:color w:val="auto"/>
          <w:lang w:val="en-US" w:eastAsia="zh-CN"/>
        </w:rPr>
        <w:t>区西向设置</w:t>
      </w:r>
      <w:r>
        <w:rPr>
          <w:rFonts w:hint="eastAsia"/>
          <w:color w:val="auto"/>
          <w:lang w:val="en-US" w:eastAsia="zh-CN"/>
        </w:rPr>
        <w:t>两个</w:t>
      </w:r>
      <w:r>
        <w:rPr>
          <w:rFonts w:hint="default"/>
          <w:color w:val="auto"/>
          <w:lang w:val="en-US" w:eastAsia="zh-CN"/>
        </w:rPr>
        <w:t>出入口与外部道路连通，并将</w:t>
      </w:r>
      <w:r>
        <w:rPr>
          <w:rFonts w:hint="eastAsia"/>
          <w:color w:val="auto"/>
          <w:lang w:val="en-US" w:eastAsia="zh-CN"/>
        </w:rPr>
        <w:t>园</w:t>
      </w:r>
      <w:r>
        <w:rPr>
          <w:rFonts w:hint="default"/>
          <w:color w:val="auto"/>
          <w:lang w:val="en-US" w:eastAsia="zh-CN"/>
        </w:rPr>
        <w:t>内办公</w:t>
      </w:r>
      <w:r>
        <w:rPr>
          <w:rFonts w:hint="eastAsia"/>
          <w:color w:val="auto"/>
          <w:lang w:val="en-US" w:eastAsia="zh-CN"/>
        </w:rPr>
        <w:t>生活区</w:t>
      </w:r>
      <w:r>
        <w:rPr>
          <w:rFonts w:hint="default"/>
          <w:color w:val="auto"/>
          <w:lang w:val="en-US" w:eastAsia="zh-CN"/>
        </w:rPr>
        <w:t>与</w:t>
      </w:r>
      <w:r>
        <w:rPr>
          <w:rFonts w:hint="eastAsia"/>
          <w:color w:val="auto"/>
          <w:lang w:val="en-US" w:eastAsia="zh-CN"/>
        </w:rPr>
        <w:t>生产区</w:t>
      </w:r>
      <w:r>
        <w:rPr>
          <w:rFonts w:hint="default"/>
          <w:color w:val="auto"/>
          <w:lang w:val="en-US" w:eastAsia="zh-CN"/>
        </w:rPr>
        <w:t>通过</w:t>
      </w:r>
      <w:r>
        <w:rPr>
          <w:rFonts w:hint="eastAsia"/>
          <w:color w:val="auto"/>
          <w:lang w:val="en-US" w:eastAsia="zh-CN"/>
        </w:rPr>
        <w:t>道路绿化等</w:t>
      </w:r>
      <w:r>
        <w:rPr>
          <w:rFonts w:hint="default"/>
          <w:color w:val="auto"/>
          <w:lang w:val="en-US" w:eastAsia="zh-CN"/>
        </w:rPr>
        <w:t>进行分隔。</w:t>
      </w:r>
    </w:p>
    <w:p>
      <w:pPr>
        <w:bidi w:val="0"/>
        <w:rPr>
          <w:rFonts w:hint="default"/>
          <w:color w:val="auto"/>
          <w:lang w:val="en-US" w:eastAsia="zh-CN"/>
        </w:rPr>
      </w:pPr>
      <w:r>
        <w:rPr>
          <w:rFonts w:hint="default"/>
          <w:color w:val="auto"/>
          <w:lang w:val="en-US" w:eastAsia="zh-CN"/>
        </w:rPr>
        <w:t>2、</w:t>
      </w:r>
      <w:r>
        <w:rPr>
          <w:rFonts w:hint="eastAsia"/>
          <w:color w:val="auto"/>
          <w:lang w:val="en-US" w:eastAsia="zh-CN"/>
        </w:rPr>
        <w:t>园</w:t>
      </w:r>
      <w:r>
        <w:rPr>
          <w:rFonts w:hint="default"/>
          <w:color w:val="auto"/>
          <w:lang w:val="en-US" w:eastAsia="zh-CN"/>
        </w:rPr>
        <w:t>区道路路网相互连通形成环状，形成循环有序、高效快捷的库区道路网络。道路宽度为</w:t>
      </w:r>
      <w:r>
        <w:rPr>
          <w:rFonts w:hint="eastAsia"/>
          <w:color w:val="auto"/>
          <w:lang w:val="en-US" w:eastAsia="zh-CN"/>
        </w:rPr>
        <w:t>9</w:t>
      </w:r>
      <w:r>
        <w:rPr>
          <w:rFonts w:hint="default"/>
          <w:color w:val="auto"/>
          <w:lang w:val="en-US" w:eastAsia="zh-CN"/>
        </w:rPr>
        <w:t>m-1</w:t>
      </w:r>
      <w:r>
        <w:rPr>
          <w:rFonts w:hint="eastAsia"/>
          <w:color w:val="auto"/>
          <w:lang w:val="en-US" w:eastAsia="zh-CN"/>
        </w:rPr>
        <w:t>2</w:t>
      </w:r>
      <w:r>
        <w:rPr>
          <w:rFonts w:hint="default"/>
          <w:color w:val="auto"/>
          <w:lang w:val="en-US" w:eastAsia="zh-CN"/>
        </w:rPr>
        <w:t>m，转弯半径大于9m，道路设计荷载能力为100t，满足</w:t>
      </w:r>
      <w:r>
        <w:rPr>
          <w:rFonts w:hint="eastAsia"/>
          <w:color w:val="auto"/>
          <w:lang w:val="en-US" w:eastAsia="zh-CN"/>
        </w:rPr>
        <w:t>大车</w:t>
      </w:r>
      <w:r>
        <w:rPr>
          <w:rFonts w:hint="default"/>
          <w:color w:val="auto"/>
          <w:lang w:val="en-US" w:eastAsia="zh-CN"/>
        </w:rPr>
        <w:t>进出车辆通行及消防车的通行要求。</w:t>
      </w:r>
    </w:p>
    <w:p>
      <w:pPr>
        <w:bidi w:val="0"/>
        <w:rPr>
          <w:rFonts w:hint="default"/>
          <w:color w:val="auto"/>
          <w:lang w:val="en-US" w:eastAsia="zh-CN"/>
        </w:rPr>
      </w:pPr>
      <w:r>
        <w:rPr>
          <w:rFonts w:hint="eastAsia"/>
          <w:color w:val="auto"/>
          <w:lang w:val="en-US" w:eastAsia="zh-CN"/>
        </w:rPr>
        <w:t>3、</w:t>
      </w:r>
      <w:r>
        <w:rPr>
          <w:rFonts w:hint="default"/>
          <w:color w:val="auto"/>
          <w:lang w:val="en-US" w:eastAsia="zh-CN"/>
        </w:rPr>
        <w:t>规划从保障人行安全的角度出发，将车行流线与主要步行活动空间分离。车行系统上将生活区与生产区通过道路及停车带分隔，并保障每个厂房有面朝道路的出入口，有单独的地面装卸区，同时道路转弯半径不低于12米，满足货运交通的需求。</w:t>
      </w:r>
    </w:p>
    <w:p>
      <w:pPr>
        <w:bidi w:val="0"/>
        <w:rPr>
          <w:rFonts w:hint="default"/>
          <w:color w:val="auto"/>
          <w:lang w:val="en-US" w:eastAsia="zh-CN"/>
        </w:rPr>
      </w:pPr>
      <w:r>
        <w:rPr>
          <w:rFonts w:hint="eastAsia"/>
          <w:color w:val="auto"/>
          <w:lang w:val="en-US" w:eastAsia="zh-CN"/>
        </w:rPr>
        <w:t>4</w:t>
      </w:r>
      <w:r>
        <w:rPr>
          <w:rFonts w:hint="default"/>
          <w:color w:val="auto"/>
          <w:lang w:val="en-US" w:eastAsia="zh-CN"/>
        </w:rPr>
        <w:t>、停车位设置：沿新市南路布置大车停车位，满足货车停车需求；在办公楼及厂区道路侧面布置有小车停车位（含电动汽车充电桩）及非机动车停车位，满足园区工作人员的停车需求。</w:t>
      </w:r>
    </w:p>
    <w:p>
      <w:pPr>
        <w:bidi w:val="0"/>
        <w:rPr>
          <w:rFonts w:hint="default"/>
          <w:color w:val="auto"/>
          <w:lang w:val="en-US" w:eastAsia="zh-CN"/>
        </w:rPr>
      </w:pPr>
      <w:r>
        <w:rPr>
          <w:rFonts w:hint="eastAsia"/>
          <w:color w:val="auto"/>
          <w:lang w:val="en-US" w:eastAsia="zh-CN"/>
        </w:rPr>
        <w:t>5、</w:t>
      </w:r>
      <w:r>
        <w:rPr>
          <w:rFonts w:hint="default"/>
          <w:color w:val="auto"/>
          <w:lang w:val="en-US" w:eastAsia="zh-CN"/>
        </w:rPr>
        <w:t>静态交通系统分析</w:t>
      </w:r>
    </w:p>
    <w:p>
      <w:pPr>
        <w:bidi w:val="0"/>
        <w:rPr>
          <w:rFonts w:hint="default"/>
          <w:color w:val="auto"/>
          <w:lang w:val="en-US" w:eastAsia="zh-CN"/>
        </w:rPr>
      </w:pPr>
      <w:r>
        <w:rPr>
          <w:rFonts w:hint="default"/>
          <w:color w:val="auto"/>
          <w:lang w:val="en-US" w:eastAsia="zh-CN"/>
        </w:rPr>
        <w:t>项目区设停车位</w:t>
      </w:r>
      <w:r>
        <w:rPr>
          <w:rFonts w:hint="eastAsia"/>
          <w:color w:val="auto"/>
          <w:lang w:val="en-US" w:eastAsia="zh-CN"/>
        </w:rPr>
        <w:t>101</w:t>
      </w:r>
      <w:r>
        <w:rPr>
          <w:rFonts w:hint="default"/>
          <w:color w:val="auto"/>
          <w:lang w:val="en-US" w:eastAsia="zh-CN"/>
        </w:rPr>
        <w:t>个，地面停车在满足功能的要求下，地上小车位</w:t>
      </w:r>
      <w:r>
        <w:rPr>
          <w:rFonts w:hint="eastAsia"/>
          <w:color w:val="auto"/>
          <w:lang w:val="en-US" w:eastAsia="zh-CN"/>
        </w:rPr>
        <w:t>66</w:t>
      </w:r>
      <w:r>
        <w:rPr>
          <w:rFonts w:hint="default"/>
          <w:color w:val="auto"/>
          <w:lang w:val="en-US" w:eastAsia="zh-CN"/>
        </w:rPr>
        <w:t>个</w:t>
      </w:r>
      <w:r>
        <w:rPr>
          <w:rFonts w:hint="eastAsia"/>
          <w:color w:val="auto"/>
          <w:lang w:val="en-US" w:eastAsia="zh-CN"/>
        </w:rPr>
        <w:t>（其中充电桩车位21个，无障碍车位2个）</w:t>
      </w:r>
      <w:r>
        <w:rPr>
          <w:rFonts w:hint="default"/>
          <w:color w:val="auto"/>
          <w:lang w:val="en-US" w:eastAsia="zh-CN"/>
        </w:rPr>
        <w:t>，货车车位</w:t>
      </w:r>
      <w:r>
        <w:rPr>
          <w:rFonts w:hint="eastAsia"/>
          <w:color w:val="auto"/>
          <w:lang w:val="en-US" w:eastAsia="zh-CN"/>
        </w:rPr>
        <w:t>12</w:t>
      </w:r>
      <w:r>
        <w:rPr>
          <w:rFonts w:hint="default"/>
          <w:color w:val="auto"/>
          <w:lang w:val="en-US" w:eastAsia="zh-CN"/>
        </w:rPr>
        <w:t>个，为铺设植草砖生态停车位及无障碍停车位，并根据实际要求设置部分非机动车停车位。</w:t>
      </w:r>
    </w:p>
    <w:p>
      <w:pPr>
        <w:pStyle w:val="4"/>
        <w:bidi w:val="0"/>
        <w:rPr>
          <w:rFonts w:hint="default"/>
          <w:color w:val="auto"/>
          <w:lang w:val="en-US" w:eastAsia="zh-CN"/>
        </w:rPr>
      </w:pPr>
      <w:r>
        <w:rPr>
          <w:rFonts w:hint="eastAsia"/>
          <w:color w:val="auto"/>
          <w:lang w:val="en-US" w:eastAsia="zh-CN"/>
        </w:rPr>
        <w:t>园</w:t>
      </w:r>
      <w:r>
        <w:rPr>
          <w:rFonts w:hint="default"/>
          <w:color w:val="auto"/>
          <w:lang w:val="en-US" w:eastAsia="zh-CN"/>
        </w:rPr>
        <w:t>区道路主要设计技术条件</w:t>
      </w:r>
    </w:p>
    <w:p>
      <w:pPr>
        <w:bidi w:val="0"/>
        <w:rPr>
          <w:rFonts w:hint="default"/>
          <w:color w:val="auto"/>
          <w:lang w:val="en-US" w:eastAsia="zh-CN"/>
        </w:rPr>
      </w:pPr>
      <w:r>
        <w:rPr>
          <w:rFonts w:hint="default"/>
          <w:color w:val="auto"/>
          <w:lang w:val="en-US" w:eastAsia="zh-CN"/>
        </w:rPr>
        <w:t>1、</w:t>
      </w:r>
      <w:r>
        <w:rPr>
          <w:rFonts w:hint="eastAsia"/>
          <w:color w:val="auto"/>
          <w:lang w:val="en-US" w:eastAsia="zh-CN"/>
        </w:rPr>
        <w:t>园</w:t>
      </w:r>
      <w:r>
        <w:rPr>
          <w:rFonts w:hint="default"/>
          <w:color w:val="auto"/>
          <w:lang w:val="en-US" w:eastAsia="zh-CN"/>
        </w:rPr>
        <w:t>区道路路面采用</w:t>
      </w:r>
      <w:r>
        <w:rPr>
          <w:color w:val="auto"/>
        </w:rPr>
        <w:t>改性沥青路面</w:t>
      </w:r>
      <w:r>
        <w:rPr>
          <w:rFonts w:hint="default"/>
          <w:color w:val="auto"/>
          <w:lang w:val="en-US" w:eastAsia="zh-CN"/>
        </w:rPr>
        <w:t>。</w:t>
      </w:r>
    </w:p>
    <w:p>
      <w:pPr>
        <w:bidi w:val="0"/>
        <w:rPr>
          <w:rFonts w:hint="default"/>
          <w:color w:val="auto"/>
          <w:lang w:val="en-US" w:eastAsia="zh-CN"/>
        </w:rPr>
      </w:pPr>
      <w:r>
        <w:rPr>
          <w:rFonts w:hint="default"/>
          <w:color w:val="auto"/>
          <w:lang w:val="en-US" w:eastAsia="zh-CN"/>
        </w:rPr>
        <w:t>2、道路纵坡采用0.3～1%。</w:t>
      </w:r>
    </w:p>
    <w:p>
      <w:pPr>
        <w:bidi w:val="0"/>
        <w:rPr>
          <w:rFonts w:hint="default"/>
          <w:color w:val="auto"/>
          <w:lang w:val="en-US" w:eastAsia="zh-CN"/>
        </w:rPr>
      </w:pPr>
      <w:r>
        <w:rPr>
          <w:rFonts w:hint="default"/>
          <w:color w:val="auto"/>
          <w:lang w:val="en-US" w:eastAsia="zh-CN"/>
        </w:rPr>
        <w:t>3、道路横坡采用1.0%。</w:t>
      </w:r>
    </w:p>
    <w:p>
      <w:pPr>
        <w:bidi w:val="0"/>
        <w:rPr>
          <w:rFonts w:hint="default"/>
          <w:color w:val="auto"/>
          <w:lang w:val="en-US" w:eastAsia="zh-CN"/>
        </w:rPr>
      </w:pPr>
      <w:r>
        <w:rPr>
          <w:rFonts w:hint="default"/>
          <w:color w:val="auto"/>
          <w:lang w:val="en-US" w:eastAsia="zh-CN"/>
        </w:rPr>
        <w:t>4、道路转弯半径：满足大型运输车辆及集装箱车的通行作业，道路转弯半径9m。</w:t>
      </w:r>
    </w:p>
    <w:p>
      <w:pPr>
        <w:pStyle w:val="3"/>
        <w:bidi w:val="0"/>
        <w:rPr>
          <w:rFonts w:hint="eastAsia"/>
          <w:color w:val="auto"/>
        </w:rPr>
      </w:pPr>
      <w:r>
        <w:rPr>
          <w:rFonts w:hint="eastAsia"/>
          <w:color w:val="auto"/>
        </w:rPr>
        <w:t>消防安全</w:t>
      </w:r>
    </w:p>
    <w:p>
      <w:pPr>
        <w:bidi w:val="0"/>
        <w:rPr>
          <w:rFonts w:hint="eastAsia"/>
          <w:color w:val="auto"/>
        </w:rPr>
      </w:pPr>
      <w:r>
        <w:rPr>
          <w:rFonts w:hint="eastAsia"/>
          <w:color w:val="auto"/>
        </w:rPr>
        <w:t>1、该项目为3栋三层和1栋二层（火灾危险性类别为丁类，耐火等级为二级）的低层厂房</w:t>
      </w:r>
      <w:r>
        <w:rPr>
          <w:rFonts w:hint="eastAsia"/>
          <w:color w:val="auto"/>
          <w:lang w:eastAsia="zh-CN"/>
        </w:rPr>
        <w:t>，</w:t>
      </w:r>
      <w:r>
        <w:rPr>
          <w:rFonts w:hint="default"/>
          <w:color w:val="auto"/>
          <w:lang w:val="en-US" w:eastAsia="zh-CN"/>
        </w:rPr>
        <w:t>1栋二层</w:t>
      </w:r>
      <w:r>
        <w:rPr>
          <w:rFonts w:hint="eastAsia"/>
          <w:color w:val="auto"/>
          <w:lang w:val="en-US" w:eastAsia="zh-CN"/>
        </w:rPr>
        <w:t>办公楼</w:t>
      </w:r>
      <w:r>
        <w:rPr>
          <w:rFonts w:hint="default"/>
          <w:color w:val="auto"/>
          <w:lang w:val="en-US" w:eastAsia="zh-CN"/>
        </w:rPr>
        <w:t>，1栋三层的员工宿舍楼，门卫</w:t>
      </w:r>
      <w:r>
        <w:rPr>
          <w:rFonts w:hint="eastAsia"/>
          <w:color w:val="auto"/>
          <w:lang w:val="en-US" w:eastAsia="zh-CN"/>
        </w:rPr>
        <w:t>及设备用房</w:t>
      </w:r>
      <w:r>
        <w:rPr>
          <w:rFonts w:hint="eastAsia"/>
          <w:color w:val="auto"/>
        </w:rPr>
        <w:t>。其总建筑面积为</w:t>
      </w:r>
      <w:r>
        <w:rPr>
          <w:rFonts w:hint="eastAsia"/>
          <w:color w:val="auto"/>
          <w:lang w:eastAsia="zh-CN"/>
        </w:rPr>
        <w:t>43957.00</w:t>
      </w:r>
      <w:r>
        <w:rPr>
          <w:rFonts w:hint="eastAsia"/>
          <w:color w:val="auto"/>
        </w:rPr>
        <w:t>平方米，占地面积为</w:t>
      </w:r>
      <w:r>
        <w:rPr>
          <w:rFonts w:hint="eastAsia"/>
          <w:color w:val="auto"/>
          <w:lang w:eastAsia="zh-CN"/>
        </w:rPr>
        <w:t>15838.72</w:t>
      </w:r>
      <w:r>
        <w:rPr>
          <w:rFonts w:hint="eastAsia"/>
          <w:color w:val="auto"/>
        </w:rPr>
        <w:t>平米。满足了建筑单体之间的防火间距要求以及消防车扑救场地的尺寸要求。</w:t>
      </w:r>
    </w:p>
    <w:p>
      <w:pPr>
        <w:bidi w:val="0"/>
        <w:rPr>
          <w:rFonts w:hint="eastAsia"/>
          <w:color w:val="auto"/>
        </w:rPr>
      </w:pPr>
      <w:r>
        <w:rPr>
          <w:rFonts w:hint="eastAsia"/>
          <w:color w:val="auto"/>
        </w:rPr>
        <w:t>2、该项目场地出入口兼作为消防车道出入口，另外沿各建筑外围布置宽度为4米的消防环道，车道转弯半径为12m，坡度按规范要求控制在0.2%～7%之间。消防环道和室外消火栓构成一套完整的消防体系。</w:t>
      </w:r>
    </w:p>
    <w:p>
      <w:pPr>
        <w:pStyle w:val="3"/>
        <w:bidi w:val="0"/>
        <w:rPr>
          <w:color w:val="auto"/>
        </w:rPr>
      </w:pPr>
      <w:r>
        <w:rPr>
          <w:rFonts w:hint="eastAsia"/>
          <w:color w:val="auto"/>
          <w:lang w:val="en-US" w:eastAsia="zh-CN"/>
        </w:rPr>
        <w:t>环境绿化设计</w:t>
      </w:r>
    </w:p>
    <w:p>
      <w:pPr>
        <w:bidi w:val="0"/>
        <w:rPr>
          <w:rFonts w:hint="eastAsia"/>
          <w:color w:val="auto"/>
        </w:rPr>
      </w:pPr>
      <w:r>
        <w:rPr>
          <w:rFonts w:hint="eastAsia"/>
          <w:color w:val="auto"/>
        </w:rPr>
        <w:t>项目区</w:t>
      </w:r>
      <w:r>
        <w:rPr>
          <w:color w:val="auto"/>
        </w:rPr>
        <w:t>标准</w:t>
      </w:r>
      <w:r>
        <w:rPr>
          <w:rFonts w:hint="eastAsia"/>
          <w:color w:val="auto"/>
        </w:rPr>
        <w:t>化</w:t>
      </w:r>
      <w:r>
        <w:rPr>
          <w:color w:val="auto"/>
        </w:rPr>
        <w:t>工业厂房及</w:t>
      </w:r>
      <w:r>
        <w:rPr>
          <w:rFonts w:hint="eastAsia"/>
          <w:color w:val="auto"/>
        </w:rPr>
        <w:t>配套</w:t>
      </w:r>
      <w:r>
        <w:rPr>
          <w:color w:val="auto"/>
        </w:rPr>
        <w:t>服务楼之间均采用绿化带隔开，四周采用宽灌木并夹以乔木绿化带与外界隔开，营造优美的</w:t>
      </w:r>
      <w:r>
        <w:rPr>
          <w:rFonts w:hint="eastAsia"/>
          <w:color w:val="auto"/>
        </w:rPr>
        <w:t>项目区</w:t>
      </w:r>
      <w:r>
        <w:rPr>
          <w:color w:val="auto"/>
        </w:rPr>
        <w:t>工业生产生活环境，同时与周围环境保留足够的卫生防护距离。</w:t>
      </w:r>
      <w:r>
        <w:rPr>
          <w:rFonts w:hint="eastAsia"/>
          <w:color w:val="auto"/>
        </w:rPr>
        <w:t>厂房主入口设集中公园绿地和生态停车场，打造优美的入口形象和景观环境。</w:t>
      </w:r>
    </w:p>
    <w:p>
      <w:pPr>
        <w:bidi w:val="0"/>
        <w:rPr>
          <w:rFonts w:hint="default"/>
          <w:color w:val="auto"/>
          <w:lang w:val="en-US" w:eastAsia="zh-CN"/>
        </w:rPr>
      </w:pPr>
      <w:r>
        <w:rPr>
          <w:rFonts w:hint="default"/>
          <w:color w:val="auto"/>
          <w:lang w:val="en-US" w:eastAsia="zh-CN"/>
        </w:rPr>
        <w:t>为美化整个</w:t>
      </w:r>
      <w:r>
        <w:rPr>
          <w:rFonts w:hint="eastAsia"/>
          <w:color w:val="auto"/>
          <w:lang w:val="en-US" w:eastAsia="zh-CN"/>
        </w:rPr>
        <w:t>园</w:t>
      </w:r>
      <w:r>
        <w:rPr>
          <w:rFonts w:hint="default"/>
          <w:color w:val="auto"/>
          <w:lang w:val="en-US" w:eastAsia="zh-CN"/>
        </w:rPr>
        <w:t>区，充分利用地块的边角以及靠围墙处等可利用的地面，栽植高大乔木、花灌木、绿篱和草坪，使其具有遮阳、吸尘和降低噪音的效果。在绿化布置时，巧妙地借用色彩与植物配植，创造统一协调、简洁而不单调的环境空间，以花坛和少量景观小品等形式组成，并通过不同植物的组合与分隔，营造多层次的景观活动空间。</w:t>
      </w:r>
    </w:p>
    <w:p>
      <w:pPr>
        <w:pStyle w:val="3"/>
        <w:bidi w:val="0"/>
        <w:rPr>
          <w:rFonts w:hint="default"/>
          <w:color w:val="auto"/>
          <w:lang w:val="en-US" w:eastAsia="zh-CN"/>
        </w:rPr>
      </w:pPr>
      <w:r>
        <w:rPr>
          <w:rFonts w:hint="default"/>
          <w:color w:val="auto"/>
          <w:lang w:val="en-US" w:eastAsia="zh-CN"/>
        </w:rPr>
        <w:t>综合管线布置</w:t>
      </w:r>
    </w:p>
    <w:p>
      <w:pPr>
        <w:bidi w:val="0"/>
        <w:rPr>
          <w:rFonts w:hint="default"/>
          <w:color w:val="auto"/>
          <w:lang w:val="en-US" w:eastAsia="zh-CN"/>
        </w:rPr>
      </w:pPr>
      <w:r>
        <w:rPr>
          <w:rFonts w:hint="default"/>
          <w:color w:val="auto"/>
          <w:lang w:val="en-US" w:eastAsia="zh-CN"/>
        </w:rPr>
        <w:t>各个地块内主要管线有给水、雨水、污水、电力、电讯、燃气管道，各管道分别从循环经济产业园区已有管线接入，室外给水管道、污水管道、电气线路、通讯电缆等均采用地下敷设。</w:t>
      </w:r>
    </w:p>
    <w:p>
      <w:pPr>
        <w:pStyle w:val="4"/>
        <w:bidi w:val="0"/>
        <w:rPr>
          <w:rFonts w:hint="default"/>
          <w:color w:val="auto"/>
          <w:lang w:val="en-US" w:eastAsia="zh-CN"/>
        </w:rPr>
      </w:pPr>
      <w:r>
        <w:rPr>
          <w:rFonts w:hint="default"/>
          <w:color w:val="auto"/>
          <w:lang w:val="en-US" w:eastAsia="zh-CN"/>
        </w:rPr>
        <w:t>布置原则</w:t>
      </w:r>
    </w:p>
    <w:p>
      <w:pPr>
        <w:bidi w:val="0"/>
        <w:rPr>
          <w:rFonts w:hint="default"/>
          <w:color w:val="auto"/>
          <w:lang w:val="en-US" w:eastAsia="zh-CN"/>
        </w:rPr>
      </w:pPr>
      <w:r>
        <w:rPr>
          <w:rFonts w:hint="default"/>
          <w:color w:val="auto"/>
          <w:lang w:val="en-US" w:eastAsia="zh-CN"/>
        </w:rPr>
        <w:t>1、管线综合布置与总平面布置、竖向设计和绿化布置统一进行。使管线之间、管线与建筑物和构筑物之间在平面及竖向上相互协调、紧凑合理</w:t>
      </w:r>
      <w:r>
        <w:rPr>
          <w:rFonts w:hint="eastAsia"/>
          <w:color w:val="auto"/>
          <w:lang w:val="en-US" w:eastAsia="zh-CN"/>
        </w:rPr>
        <w:t>。</w:t>
      </w:r>
    </w:p>
    <w:p>
      <w:pPr>
        <w:bidi w:val="0"/>
        <w:rPr>
          <w:rFonts w:hint="default"/>
          <w:color w:val="auto"/>
          <w:lang w:val="en-US" w:eastAsia="zh-CN"/>
        </w:rPr>
      </w:pPr>
      <w:r>
        <w:rPr>
          <w:rFonts w:hint="default"/>
          <w:color w:val="auto"/>
          <w:lang w:val="en-US" w:eastAsia="zh-CN"/>
        </w:rPr>
        <w:t>2、管线带的布置与道路或建筑红线相平行。</w:t>
      </w:r>
    </w:p>
    <w:p>
      <w:pPr>
        <w:bidi w:val="0"/>
        <w:rPr>
          <w:rFonts w:hint="default"/>
          <w:color w:val="auto"/>
          <w:lang w:val="en-US" w:eastAsia="zh-CN"/>
        </w:rPr>
      </w:pPr>
      <w:r>
        <w:rPr>
          <w:rFonts w:hint="default"/>
          <w:color w:val="auto"/>
          <w:lang w:val="en-US" w:eastAsia="zh-CN"/>
        </w:rPr>
        <w:t>3、管线综合布置时尽量减少管线与道路及其它干管的交叉。</w:t>
      </w:r>
    </w:p>
    <w:p>
      <w:pPr>
        <w:pStyle w:val="4"/>
        <w:bidi w:val="0"/>
        <w:rPr>
          <w:rFonts w:hint="default"/>
          <w:color w:val="auto"/>
          <w:lang w:val="en-US" w:eastAsia="zh-CN"/>
        </w:rPr>
      </w:pPr>
      <w:r>
        <w:rPr>
          <w:rFonts w:hint="default"/>
          <w:color w:val="auto"/>
          <w:lang w:val="en-US" w:eastAsia="zh-CN"/>
        </w:rPr>
        <w:t>综合管线布置方案</w:t>
      </w:r>
    </w:p>
    <w:p>
      <w:pPr>
        <w:bidi w:val="0"/>
        <w:rPr>
          <w:rFonts w:hint="default"/>
          <w:color w:val="auto"/>
          <w:lang w:val="en-US" w:eastAsia="zh-CN"/>
        </w:rPr>
      </w:pPr>
      <w:r>
        <w:rPr>
          <w:rFonts w:hint="default"/>
          <w:color w:val="auto"/>
          <w:lang w:val="en-US" w:eastAsia="zh-CN"/>
        </w:rPr>
        <w:t>上水管线呈环状布置，消防给水与其它给水合并设置。雨水管及污水管采用直埋。强、弱电缆主要采用电缆沟或者直埋敷设。</w:t>
      </w:r>
    </w:p>
    <w:p>
      <w:pPr>
        <w:keepNext/>
        <w:keepLines/>
        <w:widowControl w:val="0"/>
        <w:numPr>
          <w:ilvl w:val="1"/>
          <w:numId w:val="1"/>
        </w:numPr>
        <w:bidi w:val="0"/>
        <w:spacing w:before="40" w:beforeLines="0" w:beforeAutospacing="0" w:after="40" w:afterLines="0" w:afterAutospacing="0" w:line="413" w:lineRule="auto"/>
        <w:ind w:firstLine="643" w:firstLineChars="200"/>
        <w:jc w:val="both"/>
        <w:outlineLvl w:val="1"/>
        <w:rPr>
          <w:rFonts w:ascii="Arial" w:hAnsi="Arial" w:eastAsia="仿宋" w:cs="仿宋"/>
          <w:b/>
          <w:color w:val="auto"/>
          <w:kern w:val="2"/>
          <w:sz w:val="32"/>
          <w:szCs w:val="30"/>
          <w:lang w:val="en-US" w:eastAsia="zh-CN" w:bidi="ar-SA"/>
        </w:rPr>
      </w:pPr>
      <w:r>
        <w:rPr>
          <w:rFonts w:hint="eastAsia" w:ascii="Arial" w:hAnsi="Arial" w:eastAsia="仿宋" w:cs="仿宋"/>
          <w:b/>
          <w:color w:val="auto"/>
          <w:kern w:val="2"/>
          <w:sz w:val="32"/>
          <w:szCs w:val="30"/>
          <w:lang w:val="en-US" w:eastAsia="zh-CN" w:bidi="ar-SA"/>
        </w:rPr>
        <w:t>技术经济指标</w:t>
      </w:r>
    </w:p>
    <w:p>
      <w:pPr>
        <w:pStyle w:val="17"/>
        <w:bidi w:val="0"/>
        <w:rPr>
          <w:rFonts w:hint="default"/>
          <w:color w:val="auto"/>
          <w:lang w:val="en-US" w:eastAsia="zh-CN"/>
        </w:rPr>
      </w:pPr>
      <w:r>
        <w:rPr>
          <w:rFonts w:hint="eastAsia"/>
          <w:color w:val="auto"/>
          <w:lang w:val="en-US" w:eastAsia="zh-CN"/>
        </w:rPr>
        <w:t>总体技术经济指标表</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2212"/>
        <w:gridCol w:w="1498"/>
        <w:gridCol w:w="2384"/>
        <w:gridCol w:w="2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488" w:type="pct"/>
            <w:noWrap w:val="0"/>
            <w:vAlign w:val="center"/>
          </w:tcPr>
          <w:p>
            <w:pPr>
              <w:pStyle w:val="17"/>
              <w:bidi w:val="0"/>
              <w:rPr>
                <w:color w:val="auto"/>
              </w:rPr>
            </w:pPr>
            <w:r>
              <w:rPr>
                <w:rFonts w:hint="eastAsia"/>
                <w:color w:val="auto"/>
              </w:rPr>
              <w:t>序号</w:t>
            </w:r>
          </w:p>
        </w:tc>
        <w:tc>
          <w:tcPr>
            <w:tcW w:w="1212" w:type="pct"/>
            <w:noWrap w:val="0"/>
            <w:vAlign w:val="center"/>
          </w:tcPr>
          <w:p>
            <w:pPr>
              <w:pStyle w:val="17"/>
              <w:bidi w:val="0"/>
              <w:rPr>
                <w:color w:val="auto"/>
              </w:rPr>
            </w:pPr>
            <w:r>
              <w:rPr>
                <w:rFonts w:hint="eastAsia"/>
                <w:color w:val="auto"/>
              </w:rPr>
              <w:t>建设名称</w:t>
            </w:r>
          </w:p>
        </w:tc>
        <w:tc>
          <w:tcPr>
            <w:tcW w:w="821" w:type="pct"/>
            <w:noWrap w:val="0"/>
            <w:vAlign w:val="center"/>
          </w:tcPr>
          <w:p>
            <w:pPr>
              <w:pStyle w:val="17"/>
              <w:bidi w:val="0"/>
              <w:rPr>
                <w:color w:val="auto"/>
              </w:rPr>
            </w:pPr>
            <w:r>
              <w:rPr>
                <w:rFonts w:hint="eastAsia"/>
                <w:color w:val="auto"/>
              </w:rPr>
              <w:t>单位</w:t>
            </w:r>
          </w:p>
        </w:tc>
        <w:tc>
          <w:tcPr>
            <w:tcW w:w="1306" w:type="pct"/>
            <w:noWrap w:val="0"/>
            <w:vAlign w:val="center"/>
          </w:tcPr>
          <w:p>
            <w:pPr>
              <w:pStyle w:val="17"/>
              <w:bidi w:val="0"/>
              <w:rPr>
                <w:color w:val="auto"/>
              </w:rPr>
            </w:pPr>
            <w:r>
              <w:rPr>
                <w:rFonts w:hint="eastAsia"/>
                <w:color w:val="auto"/>
              </w:rPr>
              <w:t>数值</w:t>
            </w:r>
          </w:p>
        </w:tc>
        <w:tc>
          <w:tcPr>
            <w:tcW w:w="1170" w:type="pct"/>
            <w:noWrap w:val="0"/>
            <w:vAlign w:val="center"/>
          </w:tcPr>
          <w:p>
            <w:pPr>
              <w:pStyle w:val="17"/>
              <w:bidi w:val="0"/>
              <w:rPr>
                <w:color w:val="auto"/>
              </w:rPr>
            </w:pPr>
            <w:r>
              <w:rPr>
                <w:rFonts w:hint="eastAsia"/>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color w:val="auto"/>
              </w:rPr>
              <w:t>1</w:t>
            </w:r>
          </w:p>
        </w:tc>
        <w:tc>
          <w:tcPr>
            <w:tcW w:w="1212" w:type="pct"/>
            <w:noWrap w:val="0"/>
            <w:vAlign w:val="center"/>
          </w:tcPr>
          <w:p>
            <w:pPr>
              <w:pStyle w:val="17"/>
              <w:bidi w:val="0"/>
              <w:rPr>
                <w:color w:val="auto"/>
              </w:rPr>
            </w:pPr>
            <w:r>
              <w:rPr>
                <w:rFonts w:hint="eastAsia"/>
                <w:color w:val="auto"/>
              </w:rPr>
              <w:t>总用地面积</w:t>
            </w:r>
          </w:p>
        </w:tc>
        <w:tc>
          <w:tcPr>
            <w:tcW w:w="821" w:type="pct"/>
            <w:noWrap w:val="0"/>
            <w:vAlign w:val="center"/>
          </w:tcPr>
          <w:p>
            <w:pPr>
              <w:pStyle w:val="17"/>
              <w:bidi w:val="0"/>
              <w:rPr>
                <w:color w:val="auto"/>
              </w:rPr>
            </w:pPr>
            <w:r>
              <w:rPr>
                <w:rFonts w:hint="eastAsia"/>
                <w:color w:val="auto"/>
              </w:rPr>
              <w:t>㎡</w:t>
            </w:r>
          </w:p>
        </w:tc>
        <w:tc>
          <w:tcPr>
            <w:tcW w:w="1306" w:type="pct"/>
            <w:noWrap w:val="0"/>
            <w:vAlign w:val="center"/>
          </w:tcPr>
          <w:p>
            <w:pPr>
              <w:pStyle w:val="17"/>
              <w:bidi w:val="0"/>
              <w:rPr>
                <w:rFonts w:hint="default" w:eastAsia="仿宋"/>
                <w:color w:val="auto"/>
                <w:lang w:val="en-US" w:eastAsia="zh-CN"/>
              </w:rPr>
            </w:pPr>
            <w:r>
              <w:rPr>
                <w:rFonts w:hint="eastAsia"/>
                <w:color w:val="auto"/>
                <w:lang w:val="en-US" w:eastAsia="zh-CN"/>
              </w:rPr>
              <w:t>41754.51</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w:t>
            </w:r>
          </w:p>
        </w:tc>
        <w:tc>
          <w:tcPr>
            <w:tcW w:w="1212" w:type="pct"/>
            <w:noWrap w:val="0"/>
            <w:vAlign w:val="center"/>
          </w:tcPr>
          <w:p>
            <w:pPr>
              <w:pStyle w:val="17"/>
              <w:bidi w:val="0"/>
              <w:rPr>
                <w:color w:val="auto"/>
              </w:rPr>
            </w:pPr>
            <w:r>
              <w:rPr>
                <w:rFonts w:hint="eastAsia"/>
                <w:color w:val="auto"/>
              </w:rPr>
              <w:t>总建筑面积</w:t>
            </w:r>
          </w:p>
        </w:tc>
        <w:tc>
          <w:tcPr>
            <w:tcW w:w="821" w:type="pct"/>
            <w:noWrap w:val="0"/>
            <w:vAlign w:val="center"/>
          </w:tcPr>
          <w:p>
            <w:pPr>
              <w:pStyle w:val="17"/>
              <w:bidi w:val="0"/>
              <w:rPr>
                <w:color w:val="auto"/>
              </w:rPr>
            </w:pPr>
            <w:r>
              <w:rPr>
                <w:rFonts w:hint="eastAsia"/>
                <w:color w:val="auto"/>
              </w:rPr>
              <w:t>㎡</w:t>
            </w:r>
          </w:p>
        </w:tc>
        <w:tc>
          <w:tcPr>
            <w:tcW w:w="1306" w:type="pct"/>
            <w:noWrap w:val="0"/>
            <w:vAlign w:val="center"/>
          </w:tcPr>
          <w:p>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43957.00</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2.1</w:t>
            </w:r>
          </w:p>
        </w:tc>
        <w:tc>
          <w:tcPr>
            <w:tcW w:w="1212" w:type="pct"/>
            <w:noWrap w:val="0"/>
            <w:vAlign w:val="center"/>
          </w:tcPr>
          <w:p>
            <w:pPr>
              <w:pStyle w:val="17"/>
              <w:bidi w:val="0"/>
              <w:rPr>
                <w:rFonts w:hint="eastAsia"/>
                <w:color w:val="auto"/>
              </w:rPr>
            </w:pPr>
            <w:r>
              <w:rPr>
                <w:rFonts w:hint="eastAsia"/>
                <w:color w:val="auto"/>
              </w:rPr>
              <w:t>计容建筑面积</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42921.04</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2.1.1</w:t>
            </w:r>
          </w:p>
        </w:tc>
        <w:tc>
          <w:tcPr>
            <w:tcW w:w="1212" w:type="pct"/>
            <w:noWrap w:val="0"/>
            <w:vAlign w:val="center"/>
          </w:tcPr>
          <w:p>
            <w:pPr>
              <w:pStyle w:val="17"/>
              <w:bidi w:val="0"/>
              <w:rPr>
                <w:color w:val="auto"/>
              </w:rPr>
            </w:pPr>
            <w:r>
              <w:rPr>
                <w:rFonts w:hint="eastAsia"/>
                <w:color w:val="auto"/>
                <w:lang w:val="en-US" w:eastAsia="zh-CN"/>
              </w:rPr>
              <w:t>4</w:t>
            </w:r>
            <w:r>
              <w:rPr>
                <w:rFonts w:hint="eastAsia"/>
                <w:color w:val="auto"/>
              </w:rPr>
              <w:t>~</w:t>
            </w:r>
            <w:r>
              <w:rPr>
                <w:rFonts w:hint="eastAsia"/>
                <w:color w:val="auto"/>
                <w:lang w:val="en-US" w:eastAsia="zh-CN"/>
              </w:rPr>
              <w:t>6</w:t>
            </w:r>
            <w:r>
              <w:rPr>
                <w:rFonts w:hint="eastAsia"/>
                <w:color w:val="auto"/>
              </w:rPr>
              <w:t>#厂房</w:t>
            </w:r>
          </w:p>
        </w:tc>
        <w:tc>
          <w:tcPr>
            <w:tcW w:w="821" w:type="pct"/>
            <w:noWrap w:val="0"/>
            <w:vAlign w:val="center"/>
          </w:tcPr>
          <w:p>
            <w:pPr>
              <w:pStyle w:val="17"/>
              <w:bidi w:val="0"/>
              <w:rPr>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30020.76</w:t>
            </w:r>
          </w:p>
        </w:tc>
        <w:tc>
          <w:tcPr>
            <w:tcW w:w="1170" w:type="pct"/>
            <w:noWrap w:val="0"/>
            <w:vAlign w:val="center"/>
          </w:tcPr>
          <w:p>
            <w:pPr>
              <w:pStyle w:val="17"/>
              <w:bidi w:val="0"/>
              <w:rPr>
                <w:rFonts w:hint="default" w:eastAsia="仿宋"/>
                <w:color w:val="auto"/>
                <w:lang w:val="en-US" w:eastAsia="zh-CN"/>
              </w:rPr>
            </w:pPr>
            <w:r>
              <w:rPr>
                <w:rFonts w:hint="eastAsia"/>
                <w:color w:val="auto"/>
                <w:lang w:eastAsia="zh-CN"/>
              </w:rPr>
              <w:t>10006.92</w:t>
            </w:r>
            <w:r>
              <w:rPr>
                <w:rFonts w:hint="eastAsia"/>
                <w:color w:val="auto"/>
                <w:lang w:val="en-US" w:eastAsia="zh-CN"/>
              </w:rPr>
              <w:t>/栋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2.1.2</w:t>
            </w:r>
          </w:p>
        </w:tc>
        <w:tc>
          <w:tcPr>
            <w:tcW w:w="1212" w:type="pct"/>
            <w:noWrap w:val="0"/>
            <w:vAlign w:val="center"/>
          </w:tcPr>
          <w:p>
            <w:pPr>
              <w:pStyle w:val="17"/>
              <w:bidi w:val="0"/>
              <w:rPr>
                <w:rFonts w:hint="eastAsia"/>
                <w:color w:val="auto"/>
              </w:rPr>
            </w:pPr>
            <w:r>
              <w:rPr>
                <w:rFonts w:hint="eastAsia"/>
                <w:color w:val="auto"/>
              </w:rPr>
              <w:t>3#厂房</w:t>
            </w:r>
          </w:p>
        </w:tc>
        <w:tc>
          <w:tcPr>
            <w:tcW w:w="821" w:type="pct"/>
            <w:noWrap w:val="0"/>
            <w:vAlign w:val="center"/>
          </w:tcPr>
          <w:p>
            <w:pPr>
              <w:pStyle w:val="17"/>
              <w:bidi w:val="0"/>
              <w:rPr>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6671.28</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2.1.3</w:t>
            </w:r>
          </w:p>
        </w:tc>
        <w:tc>
          <w:tcPr>
            <w:tcW w:w="1212" w:type="pct"/>
            <w:noWrap w:val="0"/>
            <w:vAlign w:val="center"/>
          </w:tcPr>
          <w:p>
            <w:pPr>
              <w:pStyle w:val="17"/>
              <w:bidi w:val="0"/>
              <w:rPr>
                <w:color w:val="auto"/>
              </w:rPr>
            </w:pPr>
            <w:r>
              <w:rPr>
                <w:rFonts w:hint="eastAsia"/>
                <w:color w:val="auto"/>
              </w:rPr>
              <w:t>2#宿舍楼</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color w:val="auto"/>
              </w:rPr>
            </w:pPr>
            <w:r>
              <w:rPr>
                <w:rFonts w:hint="eastAsia"/>
                <w:color w:val="auto"/>
              </w:rPr>
              <w:t>3639.72</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2.1.4</w:t>
            </w:r>
          </w:p>
        </w:tc>
        <w:tc>
          <w:tcPr>
            <w:tcW w:w="1212" w:type="pct"/>
            <w:noWrap w:val="0"/>
            <w:vAlign w:val="center"/>
          </w:tcPr>
          <w:p>
            <w:pPr>
              <w:pStyle w:val="17"/>
              <w:bidi w:val="0"/>
              <w:rPr>
                <w:color w:val="auto"/>
              </w:rPr>
            </w:pPr>
            <w:r>
              <w:rPr>
                <w:rFonts w:hint="eastAsia"/>
                <w:color w:val="auto"/>
              </w:rPr>
              <w:t>1#办公楼</w:t>
            </w:r>
          </w:p>
        </w:tc>
        <w:tc>
          <w:tcPr>
            <w:tcW w:w="821" w:type="pct"/>
            <w:noWrap w:val="0"/>
            <w:vAlign w:val="center"/>
          </w:tcPr>
          <w:p>
            <w:pPr>
              <w:pStyle w:val="17"/>
              <w:bidi w:val="0"/>
              <w:rPr>
                <w:color w:val="auto"/>
              </w:rPr>
            </w:pPr>
            <w:r>
              <w:rPr>
                <w:rFonts w:hint="eastAsia"/>
                <w:color w:val="auto"/>
              </w:rPr>
              <w:t>㎡</w:t>
            </w:r>
          </w:p>
        </w:tc>
        <w:tc>
          <w:tcPr>
            <w:tcW w:w="1306" w:type="pct"/>
            <w:noWrap w:val="0"/>
            <w:vAlign w:val="center"/>
          </w:tcPr>
          <w:p>
            <w:pPr>
              <w:pStyle w:val="17"/>
              <w:bidi w:val="0"/>
              <w:rPr>
                <w:color w:val="auto"/>
              </w:rPr>
            </w:pPr>
            <w:r>
              <w:rPr>
                <w:rFonts w:hint="eastAsia"/>
                <w:color w:val="auto"/>
              </w:rPr>
              <w:t>2351.28</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2.1.5</w:t>
            </w:r>
          </w:p>
        </w:tc>
        <w:tc>
          <w:tcPr>
            <w:tcW w:w="1212" w:type="pct"/>
            <w:noWrap w:val="0"/>
            <w:vAlign w:val="center"/>
          </w:tcPr>
          <w:p>
            <w:pPr>
              <w:pStyle w:val="17"/>
              <w:bidi w:val="0"/>
              <w:rPr>
                <w:rFonts w:hint="eastAsia"/>
                <w:color w:val="auto"/>
                <w:lang w:val="en-US" w:eastAsia="zh-CN"/>
              </w:rPr>
            </w:pPr>
            <w:r>
              <w:rPr>
                <w:rFonts w:hint="eastAsia"/>
                <w:color w:val="auto"/>
                <w:lang w:val="en-US" w:eastAsia="zh-CN"/>
              </w:rPr>
              <w:t>设备用房</w:t>
            </w:r>
          </w:p>
        </w:tc>
        <w:tc>
          <w:tcPr>
            <w:tcW w:w="821" w:type="pct"/>
            <w:noWrap w:val="0"/>
            <w:vAlign w:val="center"/>
          </w:tcPr>
          <w:p>
            <w:pPr>
              <w:pStyle w:val="17"/>
              <w:bidi w:val="0"/>
              <w:rPr>
                <w:color w:val="auto"/>
              </w:rPr>
            </w:pPr>
            <w:r>
              <w:rPr>
                <w:rFonts w:hint="eastAsia"/>
                <w:color w:val="auto"/>
              </w:rPr>
              <w:t>㎡</w:t>
            </w:r>
          </w:p>
        </w:tc>
        <w:tc>
          <w:tcPr>
            <w:tcW w:w="1306" w:type="pct"/>
            <w:noWrap w:val="0"/>
            <w:vAlign w:val="center"/>
          </w:tcPr>
          <w:p>
            <w:pPr>
              <w:pStyle w:val="17"/>
              <w:bidi w:val="0"/>
              <w:rPr>
                <w:rFonts w:hint="default"/>
                <w:color w:val="auto"/>
                <w:lang w:val="en-US" w:eastAsia="zh-CN"/>
              </w:rPr>
            </w:pPr>
            <w:r>
              <w:rPr>
                <w:rFonts w:hint="eastAsia"/>
                <w:color w:val="auto"/>
                <w:lang w:val="en-US" w:eastAsia="zh-CN"/>
              </w:rPr>
              <w:t>190.00</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default" w:eastAsia="仿宋"/>
                <w:color w:val="auto"/>
                <w:lang w:val="en-US" w:eastAsia="zh-CN"/>
              </w:rPr>
            </w:pPr>
            <w:r>
              <w:rPr>
                <w:rFonts w:hint="eastAsia"/>
                <w:color w:val="auto"/>
                <w:lang w:val="en-US" w:eastAsia="zh-CN"/>
              </w:rPr>
              <w:t>2.1.6</w:t>
            </w:r>
          </w:p>
        </w:tc>
        <w:tc>
          <w:tcPr>
            <w:tcW w:w="1212" w:type="pct"/>
            <w:noWrap w:val="0"/>
            <w:vAlign w:val="center"/>
          </w:tcPr>
          <w:p>
            <w:pPr>
              <w:pStyle w:val="17"/>
              <w:bidi w:val="0"/>
              <w:rPr>
                <w:rFonts w:hint="default"/>
                <w:color w:val="auto"/>
                <w:lang w:val="en-US" w:eastAsia="zh-CN"/>
              </w:rPr>
            </w:pPr>
            <w:r>
              <w:rPr>
                <w:rFonts w:hint="eastAsia"/>
                <w:color w:val="auto"/>
              </w:rPr>
              <w:t>门卫</w:t>
            </w:r>
          </w:p>
        </w:tc>
        <w:tc>
          <w:tcPr>
            <w:tcW w:w="821" w:type="pct"/>
            <w:noWrap w:val="0"/>
            <w:vAlign w:val="center"/>
          </w:tcPr>
          <w:p>
            <w:pPr>
              <w:pStyle w:val="17"/>
              <w:bidi w:val="0"/>
              <w:rPr>
                <w:rFonts w:hint="eastAsia"/>
                <w:color w:val="auto"/>
              </w:rPr>
            </w:pPr>
          </w:p>
        </w:tc>
        <w:tc>
          <w:tcPr>
            <w:tcW w:w="1306" w:type="pct"/>
            <w:noWrap w:val="0"/>
            <w:vAlign w:val="center"/>
          </w:tcPr>
          <w:p>
            <w:pPr>
              <w:pStyle w:val="17"/>
              <w:bidi w:val="0"/>
              <w:rPr>
                <w:rFonts w:hint="default"/>
                <w:color w:val="auto"/>
                <w:lang w:val="en-US" w:eastAsia="zh-CN"/>
              </w:rPr>
            </w:pPr>
            <w:r>
              <w:rPr>
                <w:rFonts w:hint="eastAsia"/>
                <w:color w:val="auto"/>
                <w:lang w:val="en-US" w:eastAsia="zh-CN"/>
              </w:rPr>
              <w:t>48.00</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2.2</w:t>
            </w:r>
          </w:p>
        </w:tc>
        <w:tc>
          <w:tcPr>
            <w:tcW w:w="1212" w:type="pct"/>
            <w:noWrap w:val="0"/>
            <w:vAlign w:val="center"/>
          </w:tcPr>
          <w:p>
            <w:pPr>
              <w:pStyle w:val="17"/>
              <w:bidi w:val="0"/>
              <w:rPr>
                <w:color w:val="auto"/>
              </w:rPr>
            </w:pPr>
            <w:r>
              <w:rPr>
                <w:rFonts w:hint="eastAsia"/>
                <w:color w:val="auto"/>
              </w:rPr>
              <w:t>不计容面积</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1035.96</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2.2.1</w:t>
            </w:r>
          </w:p>
        </w:tc>
        <w:tc>
          <w:tcPr>
            <w:tcW w:w="1212" w:type="pct"/>
            <w:noWrap w:val="0"/>
            <w:vAlign w:val="center"/>
          </w:tcPr>
          <w:p>
            <w:pPr>
              <w:pStyle w:val="17"/>
              <w:bidi w:val="0"/>
              <w:ind w:firstLine="0" w:firstLineChars="0"/>
              <w:rPr>
                <w:rFonts w:hint="eastAsia"/>
                <w:color w:val="auto"/>
              </w:rPr>
            </w:pPr>
            <w:r>
              <w:rPr>
                <w:rFonts w:hint="eastAsia"/>
                <w:color w:val="auto"/>
                <w:lang w:val="en-US" w:eastAsia="zh-CN"/>
              </w:rPr>
              <w:t>4</w:t>
            </w:r>
            <w:r>
              <w:rPr>
                <w:rFonts w:hint="eastAsia"/>
                <w:color w:val="auto"/>
              </w:rPr>
              <w:t>~</w:t>
            </w:r>
            <w:r>
              <w:rPr>
                <w:rFonts w:hint="eastAsia"/>
                <w:color w:val="auto"/>
                <w:lang w:val="en-US" w:eastAsia="zh-CN"/>
              </w:rPr>
              <w:t>6</w:t>
            </w:r>
            <w:r>
              <w:rPr>
                <w:rFonts w:hint="eastAsia"/>
                <w:color w:val="auto"/>
              </w:rPr>
              <w:t>#厂房</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701.04</w:t>
            </w:r>
          </w:p>
        </w:tc>
        <w:tc>
          <w:tcPr>
            <w:tcW w:w="1170" w:type="pct"/>
            <w:noWrap w:val="0"/>
            <w:vAlign w:val="center"/>
          </w:tcPr>
          <w:p>
            <w:pPr>
              <w:pStyle w:val="17"/>
              <w:bidi w:val="0"/>
              <w:rPr>
                <w:color w:val="auto"/>
              </w:rPr>
            </w:pPr>
            <w:r>
              <w:rPr>
                <w:rFonts w:hint="eastAsia" w:eastAsia="宋体"/>
                <w:color w:val="auto"/>
                <w:lang w:eastAsia="zh-CN"/>
              </w:rPr>
              <w:t>233.68</w:t>
            </w:r>
            <w:r>
              <w:rPr>
                <w:rFonts w:hint="eastAsia" w:ascii="Times New Roman" w:eastAsia="宋体"/>
                <w:color w:val="auto"/>
                <w:lang w:val="en-US" w:eastAsia="zh-CN"/>
              </w:rPr>
              <w:t>/栋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2.2.2</w:t>
            </w:r>
          </w:p>
        </w:tc>
        <w:tc>
          <w:tcPr>
            <w:tcW w:w="1212" w:type="pct"/>
            <w:noWrap w:val="0"/>
            <w:vAlign w:val="center"/>
          </w:tcPr>
          <w:p>
            <w:pPr>
              <w:pStyle w:val="17"/>
              <w:bidi w:val="0"/>
              <w:ind w:firstLine="0" w:firstLineChars="0"/>
              <w:rPr>
                <w:rFonts w:hint="eastAsia"/>
                <w:color w:val="auto"/>
              </w:rPr>
            </w:pPr>
            <w:r>
              <w:rPr>
                <w:rFonts w:hint="eastAsia"/>
                <w:color w:val="auto"/>
              </w:rPr>
              <w:t>3#厂房</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233.68</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2.2.3</w:t>
            </w:r>
          </w:p>
        </w:tc>
        <w:tc>
          <w:tcPr>
            <w:tcW w:w="1212" w:type="pct"/>
            <w:noWrap w:val="0"/>
            <w:vAlign w:val="center"/>
          </w:tcPr>
          <w:p>
            <w:pPr>
              <w:pStyle w:val="17"/>
              <w:bidi w:val="0"/>
              <w:ind w:firstLine="0" w:firstLineChars="0"/>
              <w:rPr>
                <w:rFonts w:hint="eastAsia"/>
                <w:color w:val="auto"/>
              </w:rPr>
            </w:pPr>
            <w:r>
              <w:rPr>
                <w:rFonts w:hint="eastAsia"/>
                <w:color w:val="auto"/>
              </w:rPr>
              <w:t>2#宿舍楼</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color w:val="auto"/>
              </w:rPr>
            </w:pPr>
            <w:r>
              <w:rPr>
                <w:rFonts w:hint="eastAsia"/>
                <w:color w:val="auto"/>
              </w:rPr>
              <w:t>43.52</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default" w:eastAsia="仿宋"/>
                <w:color w:val="auto"/>
                <w:lang w:val="en-US" w:eastAsia="zh-CN"/>
              </w:rPr>
            </w:pPr>
            <w:r>
              <w:rPr>
                <w:rFonts w:hint="eastAsia"/>
                <w:color w:val="auto"/>
                <w:lang w:val="en-US" w:eastAsia="zh-CN"/>
              </w:rPr>
              <w:t>2.2.4</w:t>
            </w:r>
          </w:p>
        </w:tc>
        <w:tc>
          <w:tcPr>
            <w:tcW w:w="1212" w:type="pct"/>
            <w:noWrap w:val="0"/>
            <w:vAlign w:val="center"/>
          </w:tcPr>
          <w:p>
            <w:pPr>
              <w:pStyle w:val="17"/>
              <w:bidi w:val="0"/>
              <w:ind w:firstLine="0" w:firstLineChars="0"/>
              <w:rPr>
                <w:rFonts w:hint="eastAsia"/>
                <w:color w:val="auto"/>
              </w:rPr>
            </w:pPr>
            <w:r>
              <w:rPr>
                <w:rFonts w:hint="eastAsia"/>
                <w:color w:val="auto"/>
              </w:rPr>
              <w:t>1#办公楼</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rFonts w:hint="eastAsia"/>
                <w:color w:val="auto"/>
              </w:rPr>
            </w:pPr>
            <w:r>
              <w:rPr>
                <w:rFonts w:hint="eastAsia"/>
                <w:color w:val="auto"/>
              </w:rPr>
              <w:t>57.72</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8" w:type="pct"/>
            <w:noWrap w:val="0"/>
            <w:vAlign w:val="center"/>
          </w:tcPr>
          <w:p>
            <w:pPr>
              <w:pStyle w:val="17"/>
              <w:bidi w:val="0"/>
              <w:rPr>
                <w:color w:val="auto"/>
              </w:rPr>
            </w:pPr>
            <w:r>
              <w:rPr>
                <w:rFonts w:hint="eastAsia"/>
                <w:color w:val="auto"/>
              </w:rPr>
              <w:t>3</w:t>
            </w:r>
          </w:p>
        </w:tc>
        <w:tc>
          <w:tcPr>
            <w:tcW w:w="1212" w:type="pct"/>
            <w:noWrap w:val="0"/>
            <w:vAlign w:val="center"/>
          </w:tcPr>
          <w:p>
            <w:pPr>
              <w:pStyle w:val="17"/>
              <w:bidi w:val="0"/>
              <w:rPr>
                <w:color w:val="auto"/>
              </w:rPr>
            </w:pPr>
            <w:r>
              <w:rPr>
                <w:rFonts w:hint="eastAsia"/>
                <w:color w:val="auto"/>
              </w:rPr>
              <w:t>建筑占地面积</w:t>
            </w:r>
          </w:p>
        </w:tc>
        <w:tc>
          <w:tcPr>
            <w:tcW w:w="821" w:type="pct"/>
            <w:noWrap w:val="0"/>
            <w:vAlign w:val="center"/>
          </w:tcPr>
          <w:p>
            <w:pPr>
              <w:pStyle w:val="17"/>
              <w:bidi w:val="0"/>
              <w:rPr>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15838.72</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3.1</w:t>
            </w:r>
          </w:p>
        </w:tc>
        <w:tc>
          <w:tcPr>
            <w:tcW w:w="1212" w:type="pct"/>
            <w:noWrap w:val="0"/>
            <w:vAlign w:val="center"/>
          </w:tcPr>
          <w:p>
            <w:pPr>
              <w:pStyle w:val="17"/>
              <w:bidi w:val="0"/>
              <w:ind w:firstLine="0" w:firstLineChars="0"/>
              <w:rPr>
                <w:rFonts w:ascii="仿宋" w:hAnsi="仿宋" w:eastAsia="仿宋" w:cs="仿宋"/>
                <w:color w:val="auto"/>
                <w:kern w:val="2"/>
                <w:sz w:val="24"/>
                <w:szCs w:val="30"/>
                <w:lang w:val="en-US" w:eastAsia="zh-CN" w:bidi="ar-SA"/>
              </w:rPr>
            </w:pPr>
            <w:r>
              <w:rPr>
                <w:rFonts w:hint="eastAsia"/>
                <w:color w:val="auto"/>
                <w:lang w:val="en-US" w:eastAsia="zh-CN"/>
              </w:rPr>
              <w:t>4</w:t>
            </w:r>
            <w:r>
              <w:rPr>
                <w:rFonts w:hint="eastAsia"/>
                <w:color w:val="auto"/>
              </w:rPr>
              <w:t>~</w:t>
            </w:r>
            <w:r>
              <w:rPr>
                <w:rFonts w:hint="eastAsia"/>
                <w:color w:val="auto"/>
                <w:lang w:val="en-US" w:eastAsia="zh-CN"/>
              </w:rPr>
              <w:t>6</w:t>
            </w:r>
            <w:r>
              <w:rPr>
                <w:rFonts w:hint="eastAsia"/>
                <w:color w:val="auto"/>
              </w:rPr>
              <w:t>#厂房</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10006.92</w:t>
            </w:r>
          </w:p>
        </w:tc>
        <w:tc>
          <w:tcPr>
            <w:tcW w:w="1170" w:type="pct"/>
            <w:noWrap w:val="0"/>
            <w:vAlign w:val="center"/>
          </w:tcPr>
          <w:p>
            <w:pPr>
              <w:pStyle w:val="17"/>
              <w:bidi w:val="0"/>
              <w:rPr>
                <w:color w:val="auto"/>
              </w:rPr>
            </w:pPr>
            <w:r>
              <w:rPr>
                <w:rFonts w:hint="eastAsia" w:eastAsia="宋体"/>
                <w:color w:val="auto"/>
                <w:lang w:eastAsia="zh-CN"/>
              </w:rPr>
              <w:t>3335.64</w:t>
            </w:r>
            <w:r>
              <w:rPr>
                <w:rFonts w:hint="eastAsia" w:ascii="Times New Roman" w:eastAsia="宋体"/>
                <w:color w:val="auto"/>
                <w:lang w:val="en-US" w:eastAsia="zh-CN"/>
              </w:rPr>
              <w:t>/栋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3.2</w:t>
            </w:r>
          </w:p>
        </w:tc>
        <w:tc>
          <w:tcPr>
            <w:tcW w:w="1212"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3#厂房</w:t>
            </w:r>
          </w:p>
        </w:tc>
        <w:tc>
          <w:tcPr>
            <w:tcW w:w="821" w:type="pct"/>
            <w:noWrap w:val="0"/>
            <w:vAlign w:val="center"/>
          </w:tcPr>
          <w:p>
            <w:pPr>
              <w:pStyle w:val="17"/>
              <w:bidi w:val="0"/>
              <w:rPr>
                <w:rFonts w:hint="eastAsia"/>
                <w:color w:val="auto"/>
              </w:rPr>
            </w:pPr>
            <w:r>
              <w:rPr>
                <w:rFonts w:hint="eastAsia"/>
                <w:color w:val="auto"/>
              </w:rPr>
              <w:t>㎡</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3335.64</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default" w:eastAsia="仿宋"/>
                <w:color w:val="auto"/>
                <w:lang w:val="en-US" w:eastAsia="zh-CN"/>
              </w:rPr>
            </w:pPr>
            <w:r>
              <w:rPr>
                <w:rFonts w:hint="eastAsia"/>
                <w:color w:val="auto"/>
                <w:lang w:val="en-US" w:eastAsia="zh-CN"/>
              </w:rPr>
              <w:t>3.3</w:t>
            </w:r>
          </w:p>
        </w:tc>
        <w:tc>
          <w:tcPr>
            <w:tcW w:w="1212"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2#宿舍楼</w:t>
            </w:r>
          </w:p>
        </w:tc>
        <w:tc>
          <w:tcPr>
            <w:tcW w:w="821"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w:t>
            </w:r>
          </w:p>
        </w:tc>
        <w:tc>
          <w:tcPr>
            <w:tcW w:w="1306" w:type="pct"/>
            <w:noWrap w:val="0"/>
            <w:vAlign w:val="center"/>
          </w:tcPr>
          <w:p>
            <w:pPr>
              <w:pStyle w:val="17"/>
              <w:bidi w:val="0"/>
              <w:rPr>
                <w:rFonts w:hint="eastAsia"/>
                <w:color w:val="auto"/>
              </w:rPr>
            </w:pPr>
            <w:r>
              <w:rPr>
                <w:rFonts w:hint="eastAsia"/>
                <w:color w:val="auto"/>
              </w:rPr>
              <w:t>1082.52</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default" w:eastAsia="仿宋"/>
                <w:color w:val="auto"/>
                <w:lang w:val="en-US" w:eastAsia="zh-CN"/>
              </w:rPr>
            </w:pPr>
            <w:r>
              <w:rPr>
                <w:rFonts w:hint="eastAsia"/>
                <w:color w:val="auto"/>
                <w:lang w:val="en-US" w:eastAsia="zh-CN"/>
              </w:rPr>
              <w:t>3.4</w:t>
            </w:r>
          </w:p>
        </w:tc>
        <w:tc>
          <w:tcPr>
            <w:tcW w:w="1212"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1#办公楼</w:t>
            </w:r>
          </w:p>
        </w:tc>
        <w:tc>
          <w:tcPr>
            <w:tcW w:w="821"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w:t>
            </w:r>
          </w:p>
        </w:tc>
        <w:tc>
          <w:tcPr>
            <w:tcW w:w="1306" w:type="pct"/>
            <w:noWrap w:val="0"/>
            <w:vAlign w:val="center"/>
          </w:tcPr>
          <w:p>
            <w:pPr>
              <w:pStyle w:val="17"/>
              <w:bidi w:val="0"/>
              <w:rPr>
                <w:rFonts w:hint="eastAsia"/>
                <w:color w:val="auto"/>
              </w:rPr>
            </w:pPr>
            <w:r>
              <w:rPr>
                <w:rFonts w:hint="eastAsia"/>
                <w:color w:val="auto"/>
              </w:rPr>
              <w:t>1175.64</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default" w:eastAsia="仿宋"/>
                <w:color w:val="auto"/>
                <w:lang w:val="en-US" w:eastAsia="zh-CN"/>
              </w:rPr>
            </w:pPr>
            <w:r>
              <w:rPr>
                <w:rFonts w:hint="eastAsia"/>
                <w:color w:val="auto"/>
                <w:lang w:val="en-US" w:eastAsia="zh-CN"/>
              </w:rPr>
              <w:t>3.5</w:t>
            </w:r>
          </w:p>
        </w:tc>
        <w:tc>
          <w:tcPr>
            <w:tcW w:w="2212" w:type="dxa"/>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lang w:val="en-US" w:eastAsia="zh-CN"/>
              </w:rPr>
              <w:t>设备用房</w:t>
            </w:r>
          </w:p>
        </w:tc>
        <w:tc>
          <w:tcPr>
            <w:tcW w:w="821" w:type="pct"/>
            <w:noWrap w:val="0"/>
            <w:vAlign w:val="center"/>
          </w:tcPr>
          <w:p>
            <w:pPr>
              <w:pStyle w:val="17"/>
              <w:bidi w:val="0"/>
              <w:rPr>
                <w:rFonts w:hint="eastAsia"/>
                <w:color w:val="auto"/>
              </w:rPr>
            </w:pPr>
            <w:r>
              <w:rPr>
                <w:rFonts w:hint="eastAsia"/>
                <w:color w:val="auto"/>
              </w:rPr>
              <w:t>㎡</w:t>
            </w:r>
          </w:p>
        </w:tc>
        <w:tc>
          <w:tcPr>
            <w:tcW w:w="2384" w:type="dxa"/>
            <w:noWrap w:val="0"/>
            <w:vAlign w:val="center"/>
          </w:tcPr>
          <w:p>
            <w:pPr>
              <w:pStyle w:val="17"/>
              <w:bidi w:val="0"/>
              <w:ind w:firstLine="0" w:firstLineChars="0"/>
              <w:rPr>
                <w:rFonts w:hint="eastAsia"/>
                <w:color w:val="auto"/>
              </w:rPr>
            </w:pPr>
            <w:r>
              <w:rPr>
                <w:rFonts w:hint="eastAsia"/>
                <w:color w:val="auto"/>
                <w:lang w:val="en-US" w:eastAsia="zh-CN"/>
              </w:rPr>
              <w:t>190.00</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eastAsia"/>
                <w:color w:val="auto"/>
                <w:lang w:val="en-US" w:eastAsia="zh-CN"/>
              </w:rPr>
            </w:pPr>
          </w:p>
        </w:tc>
        <w:tc>
          <w:tcPr>
            <w:tcW w:w="2212" w:type="dxa"/>
            <w:noWrap w:val="0"/>
            <w:vAlign w:val="center"/>
          </w:tcPr>
          <w:p>
            <w:pPr>
              <w:pStyle w:val="17"/>
              <w:bidi w:val="0"/>
              <w:ind w:firstLine="0" w:firstLineChars="0"/>
              <w:rPr>
                <w:rFonts w:hint="eastAsia"/>
                <w:color w:val="auto"/>
              </w:rPr>
            </w:pPr>
            <w:r>
              <w:rPr>
                <w:rFonts w:hint="eastAsia"/>
                <w:color w:val="auto"/>
              </w:rPr>
              <w:t>门卫</w:t>
            </w:r>
          </w:p>
        </w:tc>
        <w:tc>
          <w:tcPr>
            <w:tcW w:w="821" w:type="pct"/>
            <w:noWrap w:val="0"/>
            <w:vAlign w:val="center"/>
          </w:tcPr>
          <w:p>
            <w:pPr>
              <w:pStyle w:val="17"/>
              <w:bidi w:val="0"/>
              <w:rPr>
                <w:rFonts w:hint="eastAsia"/>
                <w:color w:val="auto"/>
              </w:rPr>
            </w:pPr>
          </w:p>
        </w:tc>
        <w:tc>
          <w:tcPr>
            <w:tcW w:w="2384" w:type="dxa"/>
            <w:noWrap w:val="0"/>
            <w:vAlign w:val="center"/>
          </w:tcPr>
          <w:p>
            <w:pPr>
              <w:pStyle w:val="17"/>
              <w:bidi w:val="0"/>
              <w:ind w:firstLine="0" w:firstLineChars="0"/>
              <w:rPr>
                <w:rFonts w:hint="eastAsia"/>
                <w:color w:val="auto"/>
              </w:rPr>
            </w:pPr>
            <w:r>
              <w:rPr>
                <w:rFonts w:hint="eastAsia"/>
                <w:color w:val="auto"/>
                <w:lang w:val="en-US" w:eastAsia="zh-CN"/>
              </w:rPr>
              <w:t>48.00</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4</w:t>
            </w:r>
          </w:p>
        </w:tc>
        <w:tc>
          <w:tcPr>
            <w:tcW w:w="1212" w:type="pct"/>
            <w:noWrap w:val="0"/>
            <w:vAlign w:val="center"/>
          </w:tcPr>
          <w:p>
            <w:pPr>
              <w:pStyle w:val="17"/>
              <w:bidi w:val="0"/>
              <w:rPr>
                <w:color w:val="auto"/>
              </w:rPr>
            </w:pPr>
            <w:r>
              <w:rPr>
                <w:rFonts w:hint="eastAsia"/>
                <w:color w:val="auto"/>
              </w:rPr>
              <w:t>容积率</w:t>
            </w:r>
          </w:p>
        </w:tc>
        <w:tc>
          <w:tcPr>
            <w:tcW w:w="821" w:type="pct"/>
            <w:noWrap w:val="0"/>
            <w:vAlign w:val="center"/>
          </w:tcPr>
          <w:p>
            <w:pPr>
              <w:pStyle w:val="17"/>
              <w:bidi w:val="0"/>
              <w:rPr>
                <w:color w:val="auto"/>
              </w:rPr>
            </w:pPr>
            <w:r>
              <w:rPr>
                <w:color w:val="auto"/>
              </w:rPr>
              <w:t>/</w:t>
            </w:r>
          </w:p>
        </w:tc>
        <w:tc>
          <w:tcPr>
            <w:tcW w:w="1306" w:type="pct"/>
            <w:noWrap w:val="0"/>
            <w:vAlign w:val="center"/>
          </w:tcPr>
          <w:p>
            <w:pPr>
              <w:pStyle w:val="17"/>
              <w:bidi w:val="0"/>
              <w:rPr>
                <w:rFonts w:hint="eastAsia" w:eastAsia="仿宋"/>
                <w:color w:val="auto"/>
                <w:lang w:val="en-US" w:eastAsia="zh-CN"/>
              </w:rPr>
            </w:pPr>
            <w:r>
              <w:rPr>
                <w:rFonts w:hint="eastAsia"/>
                <w:color w:val="auto"/>
                <w:lang w:eastAsia="zh-CN"/>
              </w:rPr>
              <w:t>1.03</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5</w:t>
            </w:r>
          </w:p>
        </w:tc>
        <w:tc>
          <w:tcPr>
            <w:tcW w:w="1212" w:type="pct"/>
            <w:noWrap w:val="0"/>
            <w:vAlign w:val="center"/>
          </w:tcPr>
          <w:p>
            <w:pPr>
              <w:pStyle w:val="17"/>
              <w:bidi w:val="0"/>
              <w:rPr>
                <w:color w:val="auto"/>
              </w:rPr>
            </w:pPr>
            <w:r>
              <w:rPr>
                <w:rFonts w:hint="eastAsia"/>
                <w:color w:val="auto"/>
              </w:rPr>
              <w:t>建筑密度</w:t>
            </w:r>
          </w:p>
        </w:tc>
        <w:tc>
          <w:tcPr>
            <w:tcW w:w="821" w:type="pct"/>
            <w:noWrap w:val="0"/>
            <w:vAlign w:val="center"/>
          </w:tcPr>
          <w:p>
            <w:pPr>
              <w:pStyle w:val="17"/>
              <w:bidi w:val="0"/>
              <w:rPr>
                <w:color w:val="auto"/>
              </w:rPr>
            </w:pPr>
            <w:r>
              <w:rPr>
                <w:color w:val="auto"/>
              </w:rPr>
              <w:t>%</w:t>
            </w:r>
          </w:p>
        </w:tc>
        <w:tc>
          <w:tcPr>
            <w:tcW w:w="1306" w:type="pct"/>
            <w:noWrap w:val="0"/>
            <w:vAlign w:val="center"/>
          </w:tcPr>
          <w:p>
            <w:pPr>
              <w:pStyle w:val="17"/>
              <w:bidi w:val="0"/>
              <w:rPr>
                <w:rFonts w:hint="default" w:eastAsia="仿宋"/>
                <w:color w:val="auto"/>
                <w:lang w:val="en-US" w:eastAsia="zh-CN"/>
              </w:rPr>
            </w:pPr>
            <w:r>
              <w:rPr>
                <w:rFonts w:hint="eastAsia"/>
                <w:color w:val="auto"/>
                <w:lang w:val="en-US" w:eastAsia="zh-CN"/>
              </w:rPr>
              <w:t>37.93</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6</w:t>
            </w:r>
          </w:p>
        </w:tc>
        <w:tc>
          <w:tcPr>
            <w:tcW w:w="1212" w:type="pct"/>
            <w:noWrap w:val="0"/>
            <w:vAlign w:val="center"/>
          </w:tcPr>
          <w:p>
            <w:pPr>
              <w:pStyle w:val="17"/>
              <w:bidi w:val="0"/>
              <w:rPr>
                <w:color w:val="auto"/>
              </w:rPr>
            </w:pPr>
            <w:r>
              <w:rPr>
                <w:rFonts w:hint="eastAsia"/>
                <w:color w:val="auto"/>
              </w:rPr>
              <w:t>绿地率</w:t>
            </w:r>
          </w:p>
        </w:tc>
        <w:tc>
          <w:tcPr>
            <w:tcW w:w="821" w:type="pct"/>
            <w:noWrap w:val="0"/>
            <w:vAlign w:val="center"/>
          </w:tcPr>
          <w:p>
            <w:pPr>
              <w:pStyle w:val="17"/>
              <w:bidi w:val="0"/>
              <w:rPr>
                <w:color w:val="auto"/>
              </w:rPr>
            </w:pPr>
            <w:r>
              <w:rPr>
                <w:color w:val="auto"/>
              </w:rPr>
              <w:t>%</w:t>
            </w:r>
          </w:p>
        </w:tc>
        <w:tc>
          <w:tcPr>
            <w:tcW w:w="1306" w:type="pct"/>
            <w:noWrap w:val="0"/>
            <w:vAlign w:val="center"/>
          </w:tcPr>
          <w:p>
            <w:pPr>
              <w:pStyle w:val="17"/>
              <w:bidi w:val="0"/>
              <w:rPr>
                <w:rFonts w:hint="default" w:eastAsia="仿宋"/>
                <w:color w:val="auto"/>
                <w:lang w:val="en-US" w:eastAsia="zh-CN"/>
              </w:rPr>
            </w:pPr>
            <w:r>
              <w:rPr>
                <w:rFonts w:hint="eastAsia"/>
                <w:color w:val="auto"/>
                <w:lang w:val="en-US" w:eastAsia="zh-CN"/>
              </w:rPr>
              <w:t>12.9</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eastAsia"/>
                <w:color w:val="auto"/>
              </w:rPr>
            </w:pPr>
            <w:r>
              <w:rPr>
                <w:rFonts w:hint="eastAsia"/>
                <w:color w:val="auto"/>
              </w:rPr>
              <w:t>7</w:t>
            </w:r>
          </w:p>
        </w:tc>
        <w:tc>
          <w:tcPr>
            <w:tcW w:w="1212" w:type="pct"/>
            <w:noWrap w:val="0"/>
            <w:vAlign w:val="center"/>
          </w:tcPr>
          <w:p>
            <w:pPr>
              <w:pStyle w:val="17"/>
              <w:bidi w:val="0"/>
              <w:rPr>
                <w:color w:val="auto"/>
              </w:rPr>
            </w:pPr>
            <w:r>
              <w:rPr>
                <w:rFonts w:hint="eastAsia"/>
                <w:color w:val="auto"/>
              </w:rPr>
              <w:t>机动车停车位</w:t>
            </w:r>
          </w:p>
        </w:tc>
        <w:tc>
          <w:tcPr>
            <w:tcW w:w="821" w:type="pct"/>
            <w:noWrap w:val="0"/>
            <w:vAlign w:val="center"/>
          </w:tcPr>
          <w:p>
            <w:pPr>
              <w:pStyle w:val="17"/>
              <w:bidi w:val="0"/>
              <w:rPr>
                <w:rFonts w:hint="eastAsia"/>
                <w:color w:val="auto"/>
              </w:rPr>
            </w:pPr>
            <w:r>
              <w:rPr>
                <w:rFonts w:hint="eastAsia"/>
                <w:color w:val="auto"/>
              </w:rPr>
              <w:t>个</w:t>
            </w:r>
          </w:p>
        </w:tc>
        <w:tc>
          <w:tcPr>
            <w:tcW w:w="1306" w:type="pct"/>
            <w:noWrap w:val="0"/>
            <w:vAlign w:val="center"/>
          </w:tcPr>
          <w:p>
            <w:pPr>
              <w:pStyle w:val="17"/>
              <w:bidi w:val="0"/>
              <w:rPr>
                <w:rFonts w:hint="default" w:eastAsia="仿宋"/>
                <w:color w:val="auto"/>
                <w:lang w:val="en-US" w:eastAsia="zh-CN"/>
              </w:rPr>
            </w:pPr>
            <w:r>
              <w:rPr>
                <w:rFonts w:hint="eastAsia"/>
                <w:color w:val="auto"/>
                <w:lang w:val="en-US" w:eastAsia="zh-CN"/>
              </w:rPr>
              <w:t>101</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7.1</w:t>
            </w:r>
          </w:p>
        </w:tc>
        <w:tc>
          <w:tcPr>
            <w:tcW w:w="1212" w:type="pct"/>
            <w:noWrap w:val="0"/>
            <w:vAlign w:val="center"/>
          </w:tcPr>
          <w:p>
            <w:pPr>
              <w:pStyle w:val="17"/>
              <w:bidi w:val="0"/>
              <w:rPr>
                <w:color w:val="auto"/>
              </w:rPr>
            </w:pPr>
            <w:r>
              <w:rPr>
                <w:rFonts w:hint="eastAsia"/>
                <w:color w:val="auto"/>
              </w:rPr>
              <w:t>小车停车位</w:t>
            </w:r>
          </w:p>
        </w:tc>
        <w:tc>
          <w:tcPr>
            <w:tcW w:w="821" w:type="pct"/>
            <w:noWrap w:val="0"/>
            <w:vAlign w:val="center"/>
          </w:tcPr>
          <w:p>
            <w:pPr>
              <w:pStyle w:val="17"/>
              <w:bidi w:val="0"/>
              <w:rPr>
                <w:color w:val="auto"/>
              </w:rPr>
            </w:pPr>
            <w:r>
              <w:rPr>
                <w:rFonts w:hint="eastAsia"/>
                <w:color w:val="auto"/>
              </w:rPr>
              <w:t>个</w:t>
            </w:r>
          </w:p>
        </w:tc>
        <w:tc>
          <w:tcPr>
            <w:tcW w:w="1306" w:type="pct"/>
            <w:noWrap w:val="0"/>
            <w:vAlign w:val="center"/>
          </w:tcPr>
          <w:p>
            <w:pPr>
              <w:pStyle w:val="17"/>
              <w:bidi w:val="0"/>
              <w:rPr>
                <w:rFonts w:hint="eastAsia" w:eastAsia="仿宋"/>
                <w:color w:val="auto"/>
                <w:lang w:eastAsia="zh-CN"/>
              </w:rPr>
            </w:pPr>
            <w:r>
              <w:rPr>
                <w:rFonts w:hint="eastAsia"/>
                <w:color w:val="auto"/>
                <w:lang w:eastAsia="zh-CN"/>
              </w:rPr>
              <w:t>66</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default" w:eastAsia="仿宋"/>
                <w:color w:val="auto"/>
                <w:lang w:val="en-US" w:eastAsia="zh-CN"/>
              </w:rPr>
            </w:pPr>
            <w:r>
              <w:rPr>
                <w:rFonts w:hint="eastAsia"/>
                <w:color w:val="auto"/>
                <w:lang w:val="en-US" w:eastAsia="zh-CN"/>
              </w:rPr>
              <w:t>7.1.1</w:t>
            </w:r>
          </w:p>
        </w:tc>
        <w:tc>
          <w:tcPr>
            <w:tcW w:w="1212"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充电桩车位</w:t>
            </w:r>
          </w:p>
        </w:tc>
        <w:tc>
          <w:tcPr>
            <w:tcW w:w="821"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个</w:t>
            </w:r>
          </w:p>
        </w:tc>
        <w:tc>
          <w:tcPr>
            <w:tcW w:w="1306"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lang w:eastAsia="zh-CN"/>
              </w:rPr>
              <w:t>21</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rFonts w:hint="default" w:eastAsia="仿宋"/>
                <w:color w:val="auto"/>
                <w:lang w:val="en-US" w:eastAsia="zh-CN"/>
              </w:rPr>
            </w:pPr>
            <w:r>
              <w:rPr>
                <w:rFonts w:hint="eastAsia"/>
                <w:color w:val="auto"/>
                <w:lang w:val="en-US" w:eastAsia="zh-CN"/>
              </w:rPr>
              <w:t>7.1.2</w:t>
            </w:r>
          </w:p>
        </w:tc>
        <w:tc>
          <w:tcPr>
            <w:tcW w:w="1212"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无障碍车位</w:t>
            </w:r>
          </w:p>
        </w:tc>
        <w:tc>
          <w:tcPr>
            <w:tcW w:w="821" w:type="pct"/>
            <w:noWrap w:val="0"/>
            <w:vAlign w:val="center"/>
          </w:tcPr>
          <w:p>
            <w:pPr>
              <w:pStyle w:val="17"/>
              <w:bidi w:val="0"/>
              <w:ind w:firstLine="0" w:firstLineChars="0"/>
              <w:rPr>
                <w:rFonts w:hint="eastAsia" w:ascii="仿宋" w:hAnsi="仿宋" w:eastAsia="宋体" w:cs="仿宋"/>
                <w:color w:val="auto"/>
                <w:kern w:val="2"/>
                <w:sz w:val="24"/>
                <w:szCs w:val="30"/>
                <w:lang w:val="en-US" w:eastAsia="zh-CN" w:bidi="ar-SA"/>
              </w:rPr>
            </w:pPr>
            <w:r>
              <w:rPr>
                <w:rFonts w:hint="eastAsia"/>
                <w:color w:val="auto"/>
              </w:rPr>
              <w:t>个</w:t>
            </w:r>
          </w:p>
        </w:tc>
        <w:tc>
          <w:tcPr>
            <w:tcW w:w="1306" w:type="pct"/>
            <w:noWrap w:val="0"/>
            <w:vAlign w:val="center"/>
          </w:tcPr>
          <w:p>
            <w:pPr>
              <w:pStyle w:val="17"/>
              <w:bidi w:val="0"/>
              <w:ind w:firstLine="0" w:firstLineChars="0"/>
              <w:rPr>
                <w:rFonts w:hint="eastAsia" w:ascii="仿宋" w:hAnsi="仿宋" w:eastAsia="仿宋" w:cs="仿宋"/>
                <w:color w:val="auto"/>
                <w:kern w:val="2"/>
                <w:sz w:val="24"/>
                <w:szCs w:val="30"/>
                <w:lang w:val="en-US" w:eastAsia="zh-CN" w:bidi="ar-SA"/>
              </w:rPr>
            </w:pPr>
            <w:r>
              <w:rPr>
                <w:rFonts w:hint="eastAsia"/>
                <w:color w:val="auto"/>
              </w:rPr>
              <w:t>2</w:t>
            </w:r>
          </w:p>
        </w:tc>
        <w:tc>
          <w:tcPr>
            <w:tcW w:w="1170" w:type="pct"/>
            <w:noWrap w:val="0"/>
            <w:vAlign w:val="center"/>
          </w:tcPr>
          <w:p>
            <w:pPr>
              <w:pStyle w:val="17"/>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88" w:type="pct"/>
            <w:noWrap w:val="0"/>
            <w:vAlign w:val="center"/>
          </w:tcPr>
          <w:p>
            <w:pPr>
              <w:pStyle w:val="17"/>
              <w:bidi w:val="0"/>
              <w:rPr>
                <w:color w:val="auto"/>
              </w:rPr>
            </w:pPr>
            <w:r>
              <w:rPr>
                <w:rFonts w:hint="eastAsia"/>
                <w:color w:val="auto"/>
              </w:rPr>
              <w:t>7.2</w:t>
            </w:r>
          </w:p>
        </w:tc>
        <w:tc>
          <w:tcPr>
            <w:tcW w:w="1212" w:type="pct"/>
            <w:noWrap w:val="0"/>
            <w:vAlign w:val="center"/>
          </w:tcPr>
          <w:p>
            <w:pPr>
              <w:pStyle w:val="17"/>
              <w:bidi w:val="0"/>
              <w:rPr>
                <w:color w:val="auto"/>
              </w:rPr>
            </w:pPr>
            <w:r>
              <w:rPr>
                <w:rFonts w:hint="eastAsia"/>
                <w:color w:val="auto"/>
              </w:rPr>
              <w:t>货车停车位</w:t>
            </w:r>
          </w:p>
        </w:tc>
        <w:tc>
          <w:tcPr>
            <w:tcW w:w="821" w:type="pct"/>
            <w:noWrap w:val="0"/>
            <w:vAlign w:val="center"/>
          </w:tcPr>
          <w:p>
            <w:pPr>
              <w:pStyle w:val="17"/>
              <w:bidi w:val="0"/>
              <w:rPr>
                <w:color w:val="auto"/>
              </w:rPr>
            </w:pPr>
            <w:r>
              <w:rPr>
                <w:rFonts w:hint="eastAsia"/>
                <w:color w:val="auto"/>
              </w:rPr>
              <w:t>个</w:t>
            </w:r>
          </w:p>
        </w:tc>
        <w:tc>
          <w:tcPr>
            <w:tcW w:w="1306" w:type="pct"/>
            <w:noWrap w:val="0"/>
            <w:vAlign w:val="center"/>
          </w:tcPr>
          <w:p>
            <w:pPr>
              <w:pStyle w:val="17"/>
              <w:bidi w:val="0"/>
              <w:rPr>
                <w:rFonts w:hint="default" w:eastAsia="仿宋"/>
                <w:color w:val="auto"/>
                <w:lang w:val="en-US" w:eastAsia="zh-CN"/>
              </w:rPr>
            </w:pPr>
            <w:r>
              <w:rPr>
                <w:rFonts w:hint="eastAsia"/>
                <w:color w:val="auto"/>
                <w:lang w:val="en-US" w:eastAsia="zh-CN"/>
              </w:rPr>
              <w:t>12</w:t>
            </w:r>
          </w:p>
        </w:tc>
        <w:tc>
          <w:tcPr>
            <w:tcW w:w="1170" w:type="pct"/>
            <w:noWrap w:val="0"/>
            <w:vAlign w:val="center"/>
          </w:tcPr>
          <w:p>
            <w:pPr>
              <w:pStyle w:val="17"/>
              <w:bidi w:val="0"/>
              <w:rPr>
                <w:color w:val="auto"/>
              </w:rPr>
            </w:pPr>
          </w:p>
        </w:tc>
      </w:tr>
    </w:tbl>
    <w:p>
      <w:pPr>
        <w:pStyle w:val="17"/>
        <w:bidi w:val="0"/>
        <w:rPr>
          <w:rFonts w:hint="eastAsia"/>
          <w:color w:val="auto"/>
          <w:lang w:val="en-US" w:eastAsia="zh-CN"/>
        </w:rPr>
      </w:pPr>
    </w:p>
    <w:p>
      <w:pPr>
        <w:bidi w:val="0"/>
        <w:rPr>
          <w:rFonts w:hint="default"/>
          <w:color w:val="auto"/>
          <w:lang w:val="en-US" w:eastAsia="zh-CN"/>
        </w:rPr>
      </w:pPr>
    </w:p>
    <w:p>
      <w:pPr>
        <w:pStyle w:val="2"/>
        <w:bidi w:val="0"/>
        <w:rPr>
          <w:color w:val="auto"/>
        </w:rPr>
      </w:pPr>
      <w:r>
        <w:rPr>
          <w:rFonts w:hint="default"/>
          <w:color w:val="auto"/>
          <w:lang w:val="en-US" w:eastAsia="zh-CN"/>
        </w:rPr>
        <w:br w:type="column"/>
      </w:r>
      <w:r>
        <w:rPr>
          <w:color w:val="auto"/>
          <w:lang w:val="en-US" w:eastAsia="zh-CN"/>
        </w:rPr>
        <w:t>建筑设计</w:t>
      </w:r>
      <w:r>
        <w:rPr>
          <w:rFonts w:hint="eastAsia"/>
          <w:color w:val="auto"/>
          <w:lang w:val="en-US" w:eastAsia="zh-CN"/>
        </w:rPr>
        <w:t>说明</w:t>
      </w:r>
    </w:p>
    <w:p>
      <w:pPr>
        <w:pStyle w:val="3"/>
        <w:bidi w:val="0"/>
        <w:rPr>
          <w:color w:val="auto"/>
        </w:rPr>
      </w:pPr>
      <w:r>
        <w:rPr>
          <w:rFonts w:hint="eastAsia"/>
          <w:color w:val="auto"/>
          <w:lang w:val="en-US" w:eastAsia="zh-CN"/>
        </w:rPr>
        <w:t>设计依据</w:t>
      </w:r>
    </w:p>
    <w:p>
      <w:pPr>
        <w:bidi w:val="0"/>
        <w:rPr>
          <w:rFonts w:hint="default"/>
          <w:color w:val="auto"/>
          <w:lang w:val="en-US" w:eastAsia="zh-CN"/>
        </w:rPr>
      </w:pPr>
      <w:r>
        <w:rPr>
          <w:rFonts w:hint="default"/>
          <w:color w:val="auto"/>
          <w:lang w:val="en-US" w:eastAsia="zh-CN"/>
        </w:rPr>
        <w:t>《全国民用建筑工程设计技术措施、规划、建筑》（2009年版）；</w:t>
      </w:r>
    </w:p>
    <w:p>
      <w:pPr>
        <w:bidi w:val="0"/>
        <w:rPr>
          <w:rFonts w:hint="default"/>
          <w:color w:val="auto"/>
          <w:lang w:val="en-US" w:eastAsia="zh-CN"/>
        </w:rPr>
      </w:pPr>
      <w:r>
        <w:rPr>
          <w:rFonts w:hint="default"/>
          <w:color w:val="auto"/>
          <w:lang w:val="en-US" w:eastAsia="zh-CN"/>
        </w:rPr>
        <w:t>《工程建设标准强制性条文房屋建筑部分》（2013年版）；</w:t>
      </w:r>
    </w:p>
    <w:p>
      <w:pPr>
        <w:bidi w:val="0"/>
        <w:rPr>
          <w:rFonts w:hint="default"/>
          <w:color w:val="auto"/>
          <w:lang w:val="en-US" w:eastAsia="zh-CN"/>
        </w:rPr>
      </w:pPr>
      <w:r>
        <w:rPr>
          <w:rFonts w:hint="default"/>
          <w:color w:val="auto"/>
          <w:lang w:val="en-US" w:eastAsia="zh-CN"/>
        </w:rPr>
        <w:t>《民用建筑设计统一标准》（GB50352-2019）；</w:t>
      </w:r>
    </w:p>
    <w:p>
      <w:pPr>
        <w:bidi w:val="0"/>
        <w:rPr>
          <w:rFonts w:hint="default"/>
          <w:color w:val="auto"/>
          <w:lang w:val="en-US" w:eastAsia="zh-CN"/>
        </w:rPr>
      </w:pPr>
      <w:r>
        <w:rPr>
          <w:rFonts w:hint="default"/>
          <w:color w:val="auto"/>
          <w:lang w:val="en-US" w:eastAsia="zh-CN"/>
        </w:rPr>
        <w:t>《民用建筑通用规范》55031-2022；</w:t>
      </w:r>
    </w:p>
    <w:p>
      <w:pPr>
        <w:bidi w:val="0"/>
        <w:rPr>
          <w:rFonts w:hint="default"/>
          <w:color w:val="auto"/>
          <w:lang w:val="en-US" w:eastAsia="zh-CN"/>
        </w:rPr>
      </w:pPr>
      <w:r>
        <w:rPr>
          <w:rFonts w:hint="default"/>
          <w:color w:val="auto"/>
          <w:lang w:val="en-US" w:eastAsia="zh-CN"/>
        </w:rPr>
        <w:t>《建筑设计防火规范》GB50016-2014（2018版）；</w:t>
      </w:r>
    </w:p>
    <w:p>
      <w:pPr>
        <w:bidi w:val="0"/>
        <w:rPr>
          <w:rFonts w:hint="default"/>
          <w:color w:val="auto"/>
          <w:lang w:val="en-US" w:eastAsia="zh-CN"/>
        </w:rPr>
      </w:pPr>
      <w:r>
        <w:rPr>
          <w:rFonts w:hint="default"/>
          <w:color w:val="auto"/>
          <w:lang w:val="en-US" w:eastAsia="zh-CN"/>
        </w:rPr>
        <w:t>《建筑防火通用规范》55037-2022；</w:t>
      </w:r>
    </w:p>
    <w:p>
      <w:pPr>
        <w:bidi w:val="0"/>
        <w:rPr>
          <w:rFonts w:hint="default"/>
          <w:color w:val="auto"/>
          <w:lang w:val="en-US" w:eastAsia="zh-CN"/>
        </w:rPr>
      </w:pPr>
      <w:r>
        <w:rPr>
          <w:rFonts w:hint="default"/>
          <w:color w:val="auto"/>
          <w:lang w:val="en-US" w:eastAsia="zh-CN"/>
        </w:rPr>
        <w:t>《无障碍设计规范》（GB50763-2012）；</w:t>
      </w:r>
    </w:p>
    <w:p>
      <w:pPr>
        <w:bidi w:val="0"/>
        <w:rPr>
          <w:rFonts w:hint="default"/>
          <w:color w:val="auto"/>
          <w:lang w:val="en-US" w:eastAsia="zh-CN"/>
        </w:rPr>
      </w:pPr>
      <w:r>
        <w:rPr>
          <w:rFonts w:hint="default"/>
          <w:color w:val="auto"/>
          <w:lang w:val="en-US" w:eastAsia="zh-CN"/>
        </w:rPr>
        <w:t>《民用建筑隔声设计规范》（GB50118-2010）；</w:t>
      </w:r>
    </w:p>
    <w:p>
      <w:pPr>
        <w:bidi w:val="0"/>
        <w:rPr>
          <w:rFonts w:hint="default"/>
          <w:color w:val="auto"/>
          <w:lang w:val="en-US" w:eastAsia="zh-CN"/>
        </w:rPr>
      </w:pPr>
      <w:r>
        <w:rPr>
          <w:rFonts w:hint="default"/>
          <w:color w:val="auto"/>
          <w:lang w:val="en-US" w:eastAsia="zh-CN"/>
        </w:rPr>
        <w:t>《公共建筑节能设计标准》（GB50189-2015）；</w:t>
      </w:r>
    </w:p>
    <w:p>
      <w:pPr>
        <w:bidi w:val="0"/>
        <w:rPr>
          <w:rFonts w:hint="default"/>
          <w:color w:val="auto"/>
          <w:lang w:val="en-US" w:eastAsia="zh-CN"/>
        </w:rPr>
      </w:pPr>
      <w:r>
        <w:rPr>
          <w:rFonts w:hint="default"/>
          <w:color w:val="auto"/>
          <w:lang w:val="en-US" w:eastAsia="zh-CN"/>
        </w:rPr>
        <w:t>《工业建筑节能设计统一标准》（GB51245-2017）</w:t>
      </w:r>
    </w:p>
    <w:p>
      <w:pPr>
        <w:bidi w:val="0"/>
        <w:rPr>
          <w:rFonts w:hint="default"/>
          <w:color w:val="auto"/>
          <w:lang w:val="en-US" w:eastAsia="zh-CN"/>
        </w:rPr>
      </w:pPr>
      <w:r>
        <w:rPr>
          <w:rFonts w:hint="default"/>
          <w:color w:val="auto"/>
          <w:lang w:val="en-US" w:eastAsia="zh-CN"/>
        </w:rPr>
        <w:t>《湖南省绿色建筑工程技术审查要点》</w:t>
      </w:r>
    </w:p>
    <w:p>
      <w:pPr>
        <w:bidi w:val="0"/>
        <w:rPr>
          <w:rFonts w:hint="default"/>
          <w:color w:val="auto"/>
          <w:lang w:val="en-US" w:eastAsia="zh-CN"/>
        </w:rPr>
      </w:pPr>
      <w:r>
        <w:rPr>
          <w:rFonts w:hint="default"/>
          <w:color w:val="auto"/>
          <w:lang w:val="en-US" w:eastAsia="zh-CN"/>
        </w:rPr>
        <w:t>《建筑节能与可再生能源利用通用规范》（GB55015-2021）</w:t>
      </w:r>
    </w:p>
    <w:p>
      <w:pPr>
        <w:bidi w:val="0"/>
        <w:rPr>
          <w:rFonts w:hint="default"/>
          <w:color w:val="auto"/>
          <w:lang w:val="en-US" w:eastAsia="zh-CN"/>
        </w:rPr>
      </w:pPr>
      <w:r>
        <w:rPr>
          <w:rFonts w:hint="default"/>
          <w:color w:val="auto"/>
          <w:lang w:val="en-US" w:eastAsia="zh-CN"/>
        </w:rPr>
        <w:t>《湖南省公共建筑节能设计标准》(DBJ43/003-2017)</w:t>
      </w:r>
    </w:p>
    <w:p>
      <w:pPr>
        <w:bidi w:val="0"/>
        <w:rPr>
          <w:rFonts w:hint="default"/>
          <w:color w:val="auto"/>
          <w:lang w:val="en-US" w:eastAsia="zh-CN"/>
        </w:rPr>
      </w:pPr>
      <w:r>
        <w:rPr>
          <w:rFonts w:hint="default"/>
          <w:color w:val="auto"/>
          <w:lang w:val="en-US" w:eastAsia="zh-CN"/>
        </w:rPr>
        <w:t>《建筑与市政工程无障碍通用规范》(GB55019-2021)</w:t>
      </w:r>
    </w:p>
    <w:p>
      <w:pPr>
        <w:bidi w:val="0"/>
        <w:rPr>
          <w:rFonts w:hint="default"/>
          <w:color w:val="auto"/>
          <w:lang w:val="en-US" w:eastAsia="zh-CN"/>
        </w:rPr>
      </w:pPr>
      <w:r>
        <w:rPr>
          <w:rFonts w:hint="default"/>
          <w:color w:val="auto"/>
          <w:lang w:val="en-US" w:eastAsia="zh-CN"/>
        </w:rPr>
        <w:t>《建筑与市政防水通用规范》(GB55030-2022)</w:t>
      </w:r>
    </w:p>
    <w:p>
      <w:pPr>
        <w:bidi w:val="0"/>
        <w:rPr>
          <w:rFonts w:hint="default"/>
          <w:color w:val="auto"/>
          <w:lang w:val="en-US" w:eastAsia="zh-CN"/>
        </w:rPr>
      </w:pPr>
      <w:r>
        <w:rPr>
          <w:rFonts w:hint="default"/>
          <w:color w:val="auto"/>
          <w:lang w:val="en-US" w:eastAsia="zh-CN"/>
        </w:rPr>
        <w:t>《办公建筑设计规范》（JGJ67-2019）；</w:t>
      </w:r>
    </w:p>
    <w:p>
      <w:pPr>
        <w:bidi w:val="0"/>
        <w:rPr>
          <w:rFonts w:hint="default"/>
          <w:color w:val="auto"/>
          <w:lang w:val="en-US" w:eastAsia="zh-CN"/>
        </w:rPr>
      </w:pPr>
      <w:r>
        <w:rPr>
          <w:rFonts w:hint="default"/>
          <w:color w:val="auto"/>
          <w:lang w:val="en-US" w:eastAsia="zh-CN"/>
        </w:rPr>
        <w:t>《宿舍建筑设计规范》（JGJ36-2016）；</w:t>
      </w:r>
    </w:p>
    <w:p>
      <w:pPr>
        <w:bidi w:val="0"/>
        <w:rPr>
          <w:rFonts w:hint="default"/>
          <w:color w:val="auto"/>
          <w:lang w:val="en-US" w:eastAsia="zh-CN"/>
        </w:rPr>
      </w:pPr>
      <w:r>
        <w:rPr>
          <w:rFonts w:hint="default"/>
          <w:color w:val="auto"/>
          <w:lang w:val="en-US" w:eastAsia="zh-CN"/>
        </w:rPr>
        <w:t>《宿舍、旅馆建筑项目规范》（GB55025-2021）；</w:t>
      </w:r>
    </w:p>
    <w:p>
      <w:pPr>
        <w:bidi w:val="0"/>
        <w:rPr>
          <w:rFonts w:hint="default"/>
          <w:color w:val="auto"/>
          <w:lang w:val="en-US" w:eastAsia="zh-CN"/>
        </w:rPr>
      </w:pPr>
      <w:r>
        <w:rPr>
          <w:rFonts w:hint="default"/>
          <w:color w:val="auto"/>
          <w:lang w:val="en-US" w:eastAsia="zh-CN"/>
        </w:rPr>
        <w:t>《汽车库、修车库、停车场设计防火规范》（GB50067-2014）；</w:t>
      </w:r>
    </w:p>
    <w:p>
      <w:pPr>
        <w:bidi w:val="0"/>
        <w:rPr>
          <w:rFonts w:hint="default"/>
          <w:color w:val="auto"/>
          <w:lang w:val="en-US" w:eastAsia="zh-CN"/>
        </w:rPr>
      </w:pPr>
      <w:r>
        <w:rPr>
          <w:rFonts w:hint="default"/>
          <w:color w:val="auto"/>
          <w:lang w:val="en-US" w:eastAsia="zh-CN"/>
        </w:rPr>
        <w:t>《车库建筑设计规范》（JGJ100-2015）；</w:t>
      </w:r>
    </w:p>
    <w:p>
      <w:pPr>
        <w:bidi w:val="0"/>
        <w:rPr>
          <w:rFonts w:hint="default"/>
          <w:color w:val="auto"/>
          <w:lang w:val="en-US" w:eastAsia="zh-CN"/>
        </w:rPr>
      </w:pPr>
      <w:r>
        <w:rPr>
          <w:rFonts w:hint="default"/>
          <w:color w:val="auto"/>
          <w:lang w:val="en-US" w:eastAsia="zh-CN"/>
        </w:rPr>
        <w:t>《岳阳市城市规划区修建性详细规划和建设工程设计方案管理若干规定》2016；</w:t>
      </w:r>
    </w:p>
    <w:p>
      <w:pPr>
        <w:bidi w:val="0"/>
        <w:rPr>
          <w:rFonts w:hint="default"/>
          <w:color w:val="auto"/>
          <w:lang w:val="en-US" w:eastAsia="zh-CN"/>
        </w:rPr>
      </w:pPr>
      <w:r>
        <w:rPr>
          <w:rFonts w:hint="default"/>
          <w:color w:val="auto"/>
          <w:lang w:val="en-US" w:eastAsia="zh-CN"/>
        </w:rPr>
        <w:t>《岳阳市工业地产管理办法（试行）2019》</w:t>
      </w:r>
    </w:p>
    <w:p>
      <w:pPr>
        <w:pStyle w:val="3"/>
        <w:bidi w:val="0"/>
        <w:rPr>
          <w:rFonts w:hint="default"/>
          <w:color w:val="auto"/>
          <w:lang w:val="en-US" w:eastAsia="zh-CN"/>
        </w:rPr>
      </w:pPr>
      <w:r>
        <w:rPr>
          <w:rFonts w:hint="default"/>
          <w:color w:val="auto"/>
          <w:lang w:val="en-US" w:eastAsia="zh-CN"/>
        </w:rPr>
        <w:t>设计原则</w:t>
      </w:r>
    </w:p>
    <w:p>
      <w:pPr>
        <w:bidi w:val="0"/>
        <w:rPr>
          <w:rFonts w:hint="default"/>
          <w:color w:val="auto"/>
          <w:lang w:val="en-US" w:eastAsia="zh-CN"/>
        </w:rPr>
      </w:pPr>
      <w:r>
        <w:rPr>
          <w:rFonts w:hint="default"/>
          <w:color w:val="auto"/>
          <w:lang w:val="en-US" w:eastAsia="zh-CN"/>
        </w:rPr>
        <w:t>1、设计要做到安全可靠，科学合理，在建筑外观上要协调，造型简洁、美观大方，功能上应实用、方便、合理，经济上力求节约。</w:t>
      </w:r>
    </w:p>
    <w:p>
      <w:pPr>
        <w:bidi w:val="0"/>
        <w:rPr>
          <w:rFonts w:hint="default"/>
          <w:color w:val="auto"/>
          <w:lang w:val="en-US" w:eastAsia="zh-CN"/>
        </w:rPr>
      </w:pPr>
      <w:r>
        <w:rPr>
          <w:rFonts w:hint="default"/>
          <w:color w:val="auto"/>
          <w:lang w:val="en-US" w:eastAsia="zh-CN"/>
        </w:rPr>
        <w:t>2、单体建筑遵循整个库区的系统性，对建筑物的造型和风格应综合考虑。</w:t>
      </w:r>
    </w:p>
    <w:p>
      <w:pPr>
        <w:bidi w:val="0"/>
        <w:rPr>
          <w:rFonts w:hint="default"/>
          <w:color w:val="auto"/>
          <w:lang w:val="en-US" w:eastAsia="zh-CN"/>
        </w:rPr>
      </w:pPr>
      <w:r>
        <w:rPr>
          <w:rFonts w:hint="default"/>
          <w:color w:val="auto"/>
          <w:lang w:val="en-US" w:eastAsia="zh-CN"/>
        </w:rPr>
        <w:t>3、</w:t>
      </w:r>
      <w:r>
        <w:rPr>
          <w:rFonts w:hint="eastAsia"/>
          <w:color w:val="auto"/>
          <w:lang w:val="en-US" w:eastAsia="zh-CN"/>
        </w:rPr>
        <w:t>生产车间</w:t>
      </w:r>
      <w:r>
        <w:rPr>
          <w:rFonts w:hint="default"/>
          <w:color w:val="auto"/>
          <w:lang w:val="en-US" w:eastAsia="zh-CN"/>
        </w:rPr>
        <w:t>建筑设计要充分考虑</w:t>
      </w:r>
      <w:r>
        <w:rPr>
          <w:rFonts w:hint="eastAsia"/>
          <w:color w:val="auto"/>
          <w:lang w:val="en-US" w:eastAsia="zh-CN"/>
        </w:rPr>
        <w:t>工艺的</w:t>
      </w:r>
      <w:r>
        <w:rPr>
          <w:rFonts w:hint="default"/>
          <w:color w:val="auto"/>
          <w:lang w:val="en-US" w:eastAsia="zh-CN"/>
        </w:rPr>
        <w:t>要求，设计要注意密闭性、防止粉尘及噪音外泄，办公生活建筑设计要重视实用、美观、节能等因数。</w:t>
      </w:r>
    </w:p>
    <w:p>
      <w:pPr>
        <w:bidi w:val="0"/>
        <w:rPr>
          <w:rFonts w:hint="default"/>
          <w:color w:val="auto"/>
          <w:lang w:val="en-US" w:eastAsia="zh-CN"/>
        </w:rPr>
      </w:pPr>
      <w:r>
        <w:rPr>
          <w:rFonts w:hint="default"/>
          <w:color w:val="auto"/>
          <w:lang w:val="en-US" w:eastAsia="zh-CN"/>
        </w:rPr>
        <w:t>4、生产用建筑平面和空间设计满足工艺生产要求，流程合理、方便操作、便于管理、利于设备安装维修。</w:t>
      </w:r>
    </w:p>
    <w:p>
      <w:pPr>
        <w:bidi w:val="0"/>
        <w:rPr>
          <w:rFonts w:hint="default"/>
          <w:color w:val="auto"/>
          <w:lang w:val="en-US" w:eastAsia="zh-CN"/>
        </w:rPr>
      </w:pPr>
      <w:r>
        <w:rPr>
          <w:rFonts w:hint="default"/>
          <w:color w:val="auto"/>
          <w:lang w:val="en-US" w:eastAsia="zh-CN"/>
        </w:rPr>
        <w:t>5、建筑形式的选择，根据生产特点、建造地点条件和其他各种</w:t>
      </w:r>
      <w:r>
        <w:rPr>
          <w:rFonts w:hint="default"/>
          <w:color w:val="auto"/>
          <w:spacing w:val="-20"/>
          <w:lang w:val="en-US" w:eastAsia="zh-CN"/>
        </w:rPr>
        <w:t>因素综合考虑，并力求外形简单、布置合理、充分利用空间、节约用地。</w:t>
      </w:r>
    </w:p>
    <w:p>
      <w:pPr>
        <w:bidi w:val="0"/>
        <w:rPr>
          <w:rFonts w:hint="default"/>
          <w:color w:val="auto"/>
          <w:lang w:val="en-US" w:eastAsia="zh-CN"/>
        </w:rPr>
      </w:pPr>
      <w:r>
        <w:rPr>
          <w:rFonts w:hint="default"/>
          <w:color w:val="auto"/>
          <w:lang w:val="en-US" w:eastAsia="zh-CN"/>
        </w:rPr>
        <w:t>6、认真贯彻适用、经济、在可能条件下注意美观的方针，在满足生产要求和方便使用的前提下，努力降低建筑工程造价，并尽可能地满足建筑艺术和城市建设的要求。</w:t>
      </w:r>
    </w:p>
    <w:p>
      <w:pPr>
        <w:bidi w:val="0"/>
        <w:rPr>
          <w:rFonts w:hint="default"/>
          <w:color w:val="auto"/>
          <w:lang w:val="en-US" w:eastAsia="zh-CN"/>
        </w:rPr>
      </w:pPr>
      <w:r>
        <w:rPr>
          <w:rFonts w:hint="default"/>
          <w:color w:val="auto"/>
          <w:lang w:val="en-US" w:eastAsia="zh-CN"/>
        </w:rPr>
        <w:t>7、重视选用新技术、新材料、新工艺、新设备，重视投资效益。</w:t>
      </w:r>
    </w:p>
    <w:p>
      <w:pPr>
        <w:bidi w:val="0"/>
        <w:rPr>
          <w:rFonts w:hint="default"/>
          <w:color w:val="auto"/>
          <w:lang w:val="en-US" w:eastAsia="zh-CN"/>
        </w:rPr>
      </w:pPr>
      <w:r>
        <w:rPr>
          <w:rFonts w:hint="default"/>
          <w:color w:val="auto"/>
          <w:lang w:val="en-US" w:eastAsia="zh-CN"/>
        </w:rPr>
        <w:t>8、执行现行国家有关基本建设法规、政策和相关各类专业规范、标准以及</w:t>
      </w:r>
      <w:r>
        <w:rPr>
          <w:rFonts w:hint="eastAsia"/>
          <w:color w:val="auto"/>
          <w:lang w:val="en-US" w:eastAsia="zh-CN"/>
        </w:rPr>
        <w:t>工业生产</w:t>
      </w:r>
      <w:r>
        <w:rPr>
          <w:rFonts w:hint="default"/>
          <w:color w:val="auto"/>
          <w:lang w:val="en-US" w:eastAsia="zh-CN"/>
        </w:rPr>
        <w:t>的有关现行标准、规范和规定。</w:t>
      </w:r>
    </w:p>
    <w:p>
      <w:pPr>
        <w:pStyle w:val="3"/>
        <w:bidi w:val="0"/>
        <w:rPr>
          <w:rFonts w:hint="default"/>
          <w:color w:val="auto"/>
          <w:lang w:val="en-US" w:eastAsia="zh-CN"/>
        </w:rPr>
      </w:pPr>
      <w:r>
        <w:rPr>
          <w:rFonts w:hint="eastAsia"/>
          <w:color w:val="auto"/>
          <w:lang w:val="en-US" w:eastAsia="zh-CN"/>
        </w:rPr>
        <w:t>设计特点</w:t>
      </w:r>
    </w:p>
    <w:p>
      <w:pPr>
        <w:bidi w:val="0"/>
        <w:rPr>
          <w:rFonts w:hint="default"/>
          <w:color w:val="auto"/>
          <w:spacing w:val="-20"/>
          <w:lang w:val="en-US" w:eastAsia="zh-CN"/>
        </w:rPr>
      </w:pPr>
      <w:r>
        <w:rPr>
          <w:rFonts w:hint="default"/>
          <w:color w:val="auto"/>
          <w:spacing w:val="-20"/>
          <w:lang w:val="en-US" w:eastAsia="zh-CN"/>
        </w:rPr>
        <w:t>1、实用性：根据产业特性，把握不同业态的需求，满足功能要求。</w:t>
      </w:r>
    </w:p>
    <w:p>
      <w:pPr>
        <w:bidi w:val="0"/>
        <w:rPr>
          <w:rFonts w:hint="default"/>
          <w:color w:val="auto"/>
          <w:lang w:val="en-US" w:eastAsia="zh-CN"/>
        </w:rPr>
      </w:pPr>
      <w:r>
        <w:rPr>
          <w:rFonts w:hint="default"/>
          <w:color w:val="auto"/>
          <w:lang w:val="en-US" w:eastAsia="zh-CN"/>
        </w:rPr>
        <w:t>建筑朝向：平行于东面新市南路布置。</w:t>
      </w:r>
    </w:p>
    <w:p>
      <w:pPr>
        <w:bidi w:val="0"/>
        <w:rPr>
          <w:rFonts w:hint="default"/>
          <w:color w:val="auto"/>
          <w:lang w:val="en-US" w:eastAsia="zh-CN"/>
        </w:rPr>
      </w:pPr>
      <w:r>
        <w:rPr>
          <w:rFonts w:hint="default"/>
          <w:color w:val="auto"/>
          <w:lang w:val="en-US" w:eastAsia="zh-CN"/>
        </w:rPr>
        <w:t>建筑体量上：科技制造跨度大，面积大、层数相对较低。科创产业跨度小、面积小、层数相对较高。建筑布置方正。</w:t>
      </w:r>
    </w:p>
    <w:p>
      <w:pPr>
        <w:bidi w:val="0"/>
        <w:rPr>
          <w:rFonts w:hint="default"/>
          <w:color w:val="auto"/>
          <w:lang w:val="en-US" w:eastAsia="zh-CN"/>
        </w:rPr>
      </w:pPr>
      <w:r>
        <w:rPr>
          <w:rFonts w:hint="default"/>
          <w:color w:val="auto"/>
          <w:lang w:val="en-US" w:eastAsia="zh-CN"/>
        </w:rPr>
        <w:t>2、多样性：根据招商引资的灵活性，把握满足市场不同业主的需求，符合其产品要求。</w:t>
      </w:r>
    </w:p>
    <w:p>
      <w:pPr>
        <w:bidi w:val="0"/>
        <w:rPr>
          <w:rFonts w:hint="default"/>
          <w:color w:val="auto"/>
          <w:lang w:val="en-US" w:eastAsia="zh-CN"/>
        </w:rPr>
      </w:pPr>
      <w:r>
        <w:rPr>
          <w:rFonts w:hint="default"/>
          <w:color w:val="auto"/>
          <w:lang w:val="en-US" w:eastAsia="zh-CN"/>
        </w:rPr>
        <w:t>不同空间、不同跨度、不同面积、不同层数的建筑体量，体现其多样性。</w:t>
      </w:r>
    </w:p>
    <w:p>
      <w:pPr>
        <w:bidi w:val="0"/>
        <w:rPr>
          <w:rFonts w:hint="default"/>
          <w:color w:val="auto"/>
          <w:lang w:val="en-US" w:eastAsia="zh-CN"/>
        </w:rPr>
      </w:pPr>
      <w:r>
        <w:rPr>
          <w:rFonts w:hint="default"/>
          <w:color w:val="auto"/>
          <w:lang w:val="en-US" w:eastAsia="zh-CN"/>
        </w:rPr>
        <w:t>建筑空间组织的灵活性：通过灵活的单元组织，创造不同的空间形态，满足不同的面积需求。</w:t>
      </w:r>
    </w:p>
    <w:p>
      <w:pPr>
        <w:bidi w:val="0"/>
        <w:rPr>
          <w:rFonts w:hint="default"/>
          <w:color w:val="auto"/>
          <w:lang w:val="en-US" w:eastAsia="zh-CN"/>
        </w:rPr>
      </w:pPr>
      <w:r>
        <w:rPr>
          <w:rFonts w:hint="default"/>
          <w:color w:val="auto"/>
          <w:lang w:val="en-US" w:eastAsia="zh-CN"/>
        </w:rPr>
        <w:t>3、标识性：通过标志建筑、中心绿地、公园绿地、标准型厂房为核心的布局强化园区的独特文化。</w:t>
      </w:r>
    </w:p>
    <w:p>
      <w:pPr>
        <w:bidi w:val="0"/>
        <w:rPr>
          <w:rFonts w:hint="default"/>
          <w:color w:val="auto"/>
          <w:lang w:val="en-US" w:eastAsia="zh-CN"/>
        </w:rPr>
      </w:pPr>
      <w:r>
        <w:rPr>
          <w:rFonts w:hint="default"/>
          <w:color w:val="auto"/>
          <w:lang w:val="en-US" w:eastAsia="zh-CN"/>
        </w:rPr>
        <w:t>4、空间层次性：通过标志建筑的统领、大尺度的核心空间的强化、</w:t>
      </w:r>
      <w:r>
        <w:rPr>
          <w:color w:val="auto"/>
        </w:rPr>
        <w:t>建筑形态、层数、体量的变化、空间界面及空间尺度的变化来打造丰富的空间层次。</w:t>
      </w:r>
    </w:p>
    <w:p>
      <w:pPr>
        <w:pStyle w:val="3"/>
        <w:bidi w:val="0"/>
        <w:rPr>
          <w:color w:val="auto"/>
        </w:rPr>
      </w:pPr>
      <w:r>
        <w:rPr>
          <w:rFonts w:hint="eastAsia"/>
          <w:color w:val="auto"/>
          <w:lang w:val="en-US" w:eastAsia="zh-CN"/>
        </w:rPr>
        <w:t>主要单体建筑建设内容</w:t>
      </w:r>
    </w:p>
    <w:p>
      <w:pPr>
        <w:bidi w:val="0"/>
        <w:rPr>
          <w:rFonts w:hint="default"/>
          <w:color w:val="auto"/>
          <w:lang w:val="en-US" w:eastAsia="zh-CN"/>
        </w:rPr>
      </w:pPr>
      <w:r>
        <w:rPr>
          <w:rFonts w:hint="default"/>
          <w:color w:val="auto"/>
          <w:lang w:val="en-US" w:eastAsia="zh-CN"/>
        </w:rPr>
        <w:t>本次建设内容：3栋三层标准厂房和1栋二层标准厂房</w:t>
      </w:r>
      <w:r>
        <w:rPr>
          <w:rFonts w:hint="eastAsia"/>
          <w:color w:val="auto"/>
          <w:lang w:val="en-US" w:eastAsia="zh-CN"/>
        </w:rPr>
        <w:t>37626.76</w:t>
      </w:r>
      <w:r>
        <w:rPr>
          <w:rFonts w:hint="default"/>
          <w:color w:val="auto"/>
          <w:lang w:val="en-US" w:eastAsia="zh-CN"/>
        </w:rPr>
        <w:t>㎡，1栋二层</w:t>
      </w:r>
      <w:r>
        <w:rPr>
          <w:rFonts w:hint="eastAsia"/>
          <w:color w:val="auto"/>
          <w:lang w:val="en-US" w:eastAsia="zh-CN"/>
        </w:rPr>
        <w:t>办公楼2409.00</w:t>
      </w:r>
      <w:r>
        <w:rPr>
          <w:rFonts w:hint="default"/>
          <w:color w:val="auto"/>
          <w:lang w:val="en-US" w:eastAsia="zh-CN"/>
        </w:rPr>
        <w:t>㎡，1栋三层的员工宿舍楼</w:t>
      </w:r>
      <w:r>
        <w:rPr>
          <w:rFonts w:hint="eastAsia"/>
          <w:color w:val="auto"/>
          <w:lang w:val="en-US" w:eastAsia="zh-CN"/>
        </w:rPr>
        <w:t>3683.24</w:t>
      </w:r>
      <w:r>
        <w:rPr>
          <w:rFonts w:hint="default"/>
          <w:color w:val="auto"/>
          <w:lang w:val="en-US" w:eastAsia="zh-CN"/>
        </w:rPr>
        <w:t>㎡，门卫</w:t>
      </w:r>
      <w:r>
        <w:rPr>
          <w:rFonts w:hint="eastAsia" w:ascii="仿宋" w:eastAsia="仿宋"/>
          <w:color w:val="auto"/>
          <w:lang w:val="en-US" w:eastAsia="zh-CN"/>
        </w:rPr>
        <w:t>48</w:t>
      </w:r>
      <w:r>
        <w:rPr>
          <w:rFonts w:hint="default"/>
          <w:color w:val="auto"/>
          <w:lang w:val="en-US" w:eastAsia="zh-CN"/>
        </w:rPr>
        <w:t>.00㎡，</w:t>
      </w:r>
      <w:r>
        <w:rPr>
          <w:rFonts w:hint="eastAsia" w:ascii="仿宋" w:eastAsia="仿宋"/>
          <w:color w:val="auto"/>
          <w:lang w:val="en-US" w:eastAsia="zh-CN"/>
        </w:rPr>
        <w:t>设备用房</w:t>
      </w:r>
      <w:r>
        <w:rPr>
          <w:rFonts w:hint="eastAsia" w:ascii="Times New Roman" w:eastAsia="宋体"/>
          <w:color w:val="auto"/>
          <w:lang w:val="en-US" w:eastAsia="zh-CN"/>
        </w:rPr>
        <w:t>190.00</w:t>
      </w:r>
      <w:r>
        <w:rPr>
          <w:rFonts w:hint="default"/>
          <w:color w:val="auto"/>
          <w:lang w:val="en-US" w:eastAsia="zh-CN"/>
        </w:rPr>
        <w:t>㎡</w:t>
      </w:r>
      <w:r>
        <w:rPr>
          <w:rFonts w:hint="eastAsia" w:ascii="仿宋" w:eastAsia="仿宋"/>
          <w:color w:val="auto"/>
          <w:lang w:val="en-US" w:eastAsia="zh-CN"/>
        </w:rPr>
        <w:t>，</w:t>
      </w:r>
      <w:r>
        <w:rPr>
          <w:rFonts w:hint="eastAsia"/>
          <w:color w:val="auto"/>
          <w:lang w:val="en-US" w:eastAsia="zh-CN"/>
        </w:rPr>
        <w:t>详见建筑单体一览表</w:t>
      </w:r>
      <w:r>
        <w:rPr>
          <w:rFonts w:hint="default"/>
          <w:color w:val="auto"/>
          <w:lang w:val="en-US" w:eastAsia="zh-CN"/>
        </w:rPr>
        <w:t>。</w:t>
      </w:r>
    </w:p>
    <w:p>
      <w:pPr>
        <w:bidi w:val="0"/>
        <w:rPr>
          <w:rFonts w:hint="default"/>
          <w:color w:val="auto"/>
          <w:lang w:val="en-US" w:eastAsia="zh-CN"/>
        </w:rPr>
      </w:pPr>
    </w:p>
    <w:p>
      <w:pPr>
        <w:bidi w:val="0"/>
        <w:rPr>
          <w:rFonts w:hint="default"/>
          <w:color w:val="auto"/>
          <w:lang w:val="en-US" w:eastAsia="zh-CN"/>
        </w:rPr>
      </w:pPr>
    </w:p>
    <w:p>
      <w:pPr>
        <w:pStyle w:val="17"/>
        <w:bidi w:val="0"/>
        <w:rPr>
          <w:rFonts w:hint="eastAsia"/>
          <w:color w:val="auto"/>
          <w:lang w:val="en-US" w:eastAsia="zh-CN"/>
        </w:rPr>
      </w:pPr>
      <w:r>
        <w:rPr>
          <w:rFonts w:hint="eastAsia"/>
          <w:color w:val="auto"/>
          <w:lang w:val="en-US" w:eastAsia="zh-CN"/>
        </w:rPr>
        <w:t>单体建筑经济指标表</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0"/>
        <w:gridCol w:w="1520"/>
        <w:gridCol w:w="1521"/>
        <w:gridCol w:w="1521"/>
        <w:gridCol w:w="1521"/>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pPr>
              <w:pStyle w:val="17"/>
              <w:bidi w:val="0"/>
              <w:rPr>
                <w:rFonts w:hint="eastAsia"/>
                <w:color w:val="auto"/>
                <w:lang w:val="zh-CN"/>
              </w:rPr>
            </w:pPr>
            <w:r>
              <w:rPr>
                <w:rFonts w:hint="eastAsia"/>
                <w:color w:val="auto"/>
                <w:lang w:val="zh-CN"/>
              </w:rPr>
              <w:t>单体面积</w:t>
            </w:r>
          </w:p>
          <w:p>
            <w:pPr>
              <w:pStyle w:val="17"/>
              <w:bidi w:val="0"/>
              <w:rPr>
                <w:rFonts w:hint="eastAsia"/>
                <w:color w:val="auto"/>
                <w:lang w:val="zh-CN"/>
              </w:rPr>
            </w:pPr>
            <w:r>
              <w:rPr>
                <w:rFonts w:hint="eastAsia"/>
                <w:color w:val="auto"/>
                <w:lang w:val="zh-CN"/>
              </w:rPr>
              <w:t>指标表</w:t>
            </w:r>
          </w:p>
        </w:tc>
        <w:tc>
          <w:tcPr>
            <w:tcW w:w="833" w:type="pct"/>
            <w:noWrap w:val="0"/>
            <w:vAlign w:val="top"/>
          </w:tcPr>
          <w:p>
            <w:pPr>
              <w:pStyle w:val="17"/>
              <w:bidi w:val="0"/>
              <w:rPr>
                <w:rFonts w:hint="eastAsia"/>
                <w:color w:val="auto"/>
                <w:lang w:val="zh-CN"/>
              </w:rPr>
            </w:pPr>
            <w:r>
              <w:rPr>
                <w:rFonts w:hint="eastAsia"/>
                <w:color w:val="auto"/>
                <w:lang w:val="zh-CN"/>
              </w:rPr>
              <w:t>单位</w:t>
            </w:r>
          </w:p>
        </w:tc>
        <w:tc>
          <w:tcPr>
            <w:tcW w:w="834" w:type="pct"/>
            <w:noWrap w:val="0"/>
            <w:vAlign w:val="top"/>
          </w:tcPr>
          <w:p>
            <w:pPr>
              <w:pStyle w:val="17"/>
              <w:bidi w:val="0"/>
              <w:rPr>
                <w:rFonts w:hint="eastAsia"/>
                <w:color w:val="auto"/>
                <w:lang w:val="zh-CN"/>
              </w:rPr>
            </w:pPr>
            <w:r>
              <w:rPr>
                <w:rFonts w:hint="eastAsia"/>
                <w:color w:val="auto"/>
                <w:lang w:val="zh-CN"/>
              </w:rPr>
              <w:t>总建筑面积</w:t>
            </w:r>
          </w:p>
        </w:tc>
        <w:tc>
          <w:tcPr>
            <w:tcW w:w="834" w:type="pct"/>
            <w:noWrap w:val="0"/>
            <w:vAlign w:val="top"/>
          </w:tcPr>
          <w:p>
            <w:pPr>
              <w:pStyle w:val="17"/>
              <w:bidi w:val="0"/>
              <w:rPr>
                <w:rFonts w:hint="eastAsia"/>
                <w:color w:val="auto"/>
                <w:lang w:val="zh-CN"/>
              </w:rPr>
            </w:pPr>
            <w:r>
              <w:rPr>
                <w:rFonts w:hint="eastAsia"/>
                <w:color w:val="auto"/>
                <w:lang w:val="zh-CN"/>
              </w:rPr>
              <w:t>计容面积</w:t>
            </w:r>
          </w:p>
        </w:tc>
        <w:tc>
          <w:tcPr>
            <w:tcW w:w="834" w:type="pct"/>
            <w:noWrap w:val="0"/>
            <w:vAlign w:val="top"/>
          </w:tcPr>
          <w:p>
            <w:pPr>
              <w:pStyle w:val="17"/>
              <w:bidi w:val="0"/>
              <w:rPr>
                <w:rFonts w:hint="eastAsia"/>
                <w:color w:val="auto"/>
                <w:lang w:val="zh-CN"/>
              </w:rPr>
            </w:pPr>
            <w:r>
              <w:rPr>
                <w:rFonts w:hint="eastAsia"/>
                <w:color w:val="auto"/>
                <w:lang w:val="zh-CN"/>
              </w:rPr>
              <w:t>不计容面积</w:t>
            </w:r>
          </w:p>
        </w:tc>
        <w:tc>
          <w:tcPr>
            <w:tcW w:w="834" w:type="pct"/>
            <w:noWrap w:val="0"/>
            <w:vAlign w:val="top"/>
          </w:tcPr>
          <w:p>
            <w:pPr>
              <w:pStyle w:val="17"/>
              <w:bidi w:val="0"/>
              <w:rPr>
                <w:rFonts w:hint="eastAsia"/>
                <w:color w:val="auto"/>
                <w:lang w:val="zh-CN"/>
              </w:rPr>
            </w:pPr>
            <w:r>
              <w:rPr>
                <w:rFonts w:hint="eastAsia"/>
                <w:color w:val="auto"/>
                <w:lang w:val="zh-CN"/>
              </w:rPr>
              <w:t>占地面积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vMerge w:val="restart"/>
            <w:noWrap w:val="0"/>
            <w:vAlign w:val="center"/>
          </w:tcPr>
          <w:p>
            <w:pPr>
              <w:pStyle w:val="17"/>
              <w:bidi w:val="0"/>
              <w:ind w:firstLine="0" w:firstLineChars="0"/>
              <w:rPr>
                <w:rFonts w:hint="eastAsia"/>
                <w:color w:val="auto"/>
                <w:lang w:val="zh-CN"/>
              </w:rPr>
            </w:pPr>
            <w:r>
              <w:rPr>
                <w:rFonts w:hint="eastAsia"/>
                <w:color w:val="auto"/>
                <w:lang w:val="en-US" w:eastAsia="zh-CN"/>
              </w:rPr>
              <w:t>4</w:t>
            </w:r>
            <w:r>
              <w:rPr>
                <w:rFonts w:hint="eastAsia"/>
                <w:color w:val="auto"/>
              </w:rPr>
              <w:t>~</w:t>
            </w:r>
            <w:r>
              <w:rPr>
                <w:rFonts w:hint="eastAsia"/>
                <w:color w:val="auto"/>
                <w:lang w:val="en-US" w:eastAsia="zh-CN"/>
              </w:rPr>
              <w:t>6</w:t>
            </w:r>
            <w:r>
              <w:rPr>
                <w:rFonts w:hint="eastAsia"/>
                <w:color w:val="auto"/>
              </w:rPr>
              <w:t>#厂房</w:t>
            </w:r>
          </w:p>
        </w:tc>
        <w:tc>
          <w:tcPr>
            <w:tcW w:w="833" w:type="pct"/>
            <w:noWrap w:val="0"/>
            <w:vAlign w:val="top"/>
          </w:tcPr>
          <w:p>
            <w:pPr>
              <w:pStyle w:val="17"/>
              <w:bidi w:val="0"/>
              <w:rPr>
                <w:rFonts w:hint="eastAsia"/>
                <w:color w:val="auto"/>
                <w:lang w:val="zh-CN"/>
              </w:rPr>
            </w:pPr>
            <w:r>
              <w:rPr>
                <w:rFonts w:hint="eastAsia"/>
                <w:color w:val="auto"/>
                <w:lang w:val="zh-CN"/>
              </w:rPr>
              <w:t>平方米</w:t>
            </w:r>
          </w:p>
        </w:tc>
        <w:tc>
          <w:tcPr>
            <w:tcW w:w="834" w:type="pct"/>
            <w:noWrap w:val="0"/>
            <w:vAlign w:val="top"/>
          </w:tcPr>
          <w:p>
            <w:pPr>
              <w:pStyle w:val="17"/>
              <w:bidi w:val="0"/>
              <w:rPr>
                <w:rFonts w:hint="eastAsia"/>
                <w:color w:val="auto"/>
                <w:lang w:val="zh-CN"/>
              </w:rPr>
            </w:pPr>
            <w:r>
              <w:rPr>
                <w:rFonts w:hint="eastAsia"/>
                <w:color w:val="auto"/>
                <w:lang w:val="zh-CN"/>
              </w:rPr>
              <w:t>10240.60（单体）</w:t>
            </w:r>
          </w:p>
        </w:tc>
        <w:tc>
          <w:tcPr>
            <w:tcW w:w="834" w:type="pct"/>
            <w:noWrap w:val="0"/>
            <w:vAlign w:val="top"/>
          </w:tcPr>
          <w:p>
            <w:pPr>
              <w:pStyle w:val="17"/>
              <w:bidi w:val="0"/>
              <w:rPr>
                <w:rFonts w:hint="eastAsia"/>
                <w:color w:val="auto"/>
                <w:lang w:val="zh-CN"/>
              </w:rPr>
            </w:pPr>
            <w:r>
              <w:rPr>
                <w:rFonts w:hint="eastAsia"/>
                <w:color w:val="auto"/>
                <w:lang w:val="zh-CN"/>
              </w:rPr>
              <w:t>10006.92（单体）</w:t>
            </w:r>
          </w:p>
        </w:tc>
        <w:tc>
          <w:tcPr>
            <w:tcW w:w="834" w:type="pct"/>
            <w:noWrap w:val="0"/>
            <w:vAlign w:val="top"/>
          </w:tcPr>
          <w:p>
            <w:pPr>
              <w:pStyle w:val="17"/>
              <w:bidi w:val="0"/>
              <w:rPr>
                <w:rFonts w:hint="eastAsia"/>
                <w:color w:val="auto"/>
                <w:lang w:val="zh-CN"/>
              </w:rPr>
            </w:pPr>
            <w:r>
              <w:rPr>
                <w:rFonts w:hint="eastAsia"/>
                <w:color w:val="auto"/>
                <w:lang w:val="zh-CN"/>
              </w:rPr>
              <w:t>233.68（单体）</w:t>
            </w:r>
          </w:p>
        </w:tc>
        <w:tc>
          <w:tcPr>
            <w:tcW w:w="834" w:type="pct"/>
            <w:noWrap w:val="0"/>
            <w:vAlign w:val="top"/>
          </w:tcPr>
          <w:p>
            <w:pPr>
              <w:pStyle w:val="17"/>
              <w:bidi w:val="0"/>
              <w:rPr>
                <w:rFonts w:hint="eastAsia"/>
                <w:color w:val="auto"/>
                <w:lang w:val="zh-CN"/>
              </w:rPr>
            </w:pPr>
            <w:r>
              <w:rPr>
                <w:rFonts w:hint="eastAsia"/>
                <w:color w:val="auto"/>
                <w:lang w:val="zh-CN"/>
              </w:rPr>
              <w:t>3335.64（单体）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vMerge w:val="continue"/>
            <w:noWrap w:val="0"/>
            <w:vAlign w:val="top"/>
          </w:tcPr>
          <w:p>
            <w:pPr>
              <w:pStyle w:val="17"/>
              <w:bidi w:val="0"/>
              <w:rPr>
                <w:rFonts w:hint="eastAsia"/>
                <w:color w:val="auto"/>
                <w:lang w:val="zh-CN"/>
              </w:rPr>
            </w:pPr>
          </w:p>
        </w:tc>
        <w:tc>
          <w:tcPr>
            <w:tcW w:w="833" w:type="pct"/>
            <w:noWrap w:val="0"/>
            <w:vAlign w:val="top"/>
          </w:tcPr>
          <w:p>
            <w:pPr>
              <w:pStyle w:val="17"/>
              <w:bidi w:val="0"/>
              <w:rPr>
                <w:color w:val="auto"/>
              </w:rPr>
            </w:pPr>
            <w:r>
              <w:rPr>
                <w:rFonts w:hint="eastAsia"/>
                <w:color w:val="auto"/>
                <w:lang w:val="zh-CN"/>
              </w:rPr>
              <w:t>平方米</w:t>
            </w:r>
          </w:p>
        </w:tc>
        <w:tc>
          <w:tcPr>
            <w:tcW w:w="834" w:type="pct"/>
            <w:noWrap w:val="0"/>
            <w:vAlign w:val="top"/>
          </w:tcPr>
          <w:p>
            <w:pPr>
              <w:pStyle w:val="17"/>
              <w:bidi w:val="0"/>
              <w:rPr>
                <w:rFonts w:hint="eastAsia"/>
                <w:color w:val="auto"/>
                <w:lang w:val="zh-CN"/>
              </w:rPr>
            </w:pPr>
            <w:r>
              <w:rPr>
                <w:rFonts w:hint="eastAsia"/>
                <w:color w:val="auto"/>
                <w:lang w:val="zh-CN"/>
              </w:rPr>
              <w:t>30721.8（合计）</w:t>
            </w:r>
          </w:p>
        </w:tc>
        <w:tc>
          <w:tcPr>
            <w:tcW w:w="834" w:type="pct"/>
            <w:noWrap w:val="0"/>
            <w:vAlign w:val="top"/>
          </w:tcPr>
          <w:p>
            <w:pPr>
              <w:pStyle w:val="17"/>
              <w:bidi w:val="0"/>
              <w:rPr>
                <w:rFonts w:hint="eastAsia"/>
                <w:color w:val="auto"/>
                <w:lang w:val="zh-CN"/>
              </w:rPr>
            </w:pPr>
            <w:r>
              <w:rPr>
                <w:rFonts w:hint="eastAsia"/>
                <w:color w:val="auto"/>
                <w:lang w:val="zh-CN"/>
              </w:rPr>
              <w:t>30020.76（合计）</w:t>
            </w:r>
          </w:p>
        </w:tc>
        <w:tc>
          <w:tcPr>
            <w:tcW w:w="834" w:type="pct"/>
            <w:noWrap w:val="0"/>
            <w:vAlign w:val="top"/>
          </w:tcPr>
          <w:p>
            <w:pPr>
              <w:pStyle w:val="17"/>
              <w:bidi w:val="0"/>
              <w:rPr>
                <w:rFonts w:hint="eastAsia"/>
                <w:color w:val="auto"/>
                <w:lang w:val="zh-CN"/>
              </w:rPr>
            </w:pPr>
            <w:r>
              <w:rPr>
                <w:rFonts w:hint="eastAsia"/>
                <w:color w:val="auto"/>
                <w:lang w:val="zh-CN"/>
              </w:rPr>
              <w:t>701.04（合计）</w:t>
            </w:r>
          </w:p>
        </w:tc>
        <w:tc>
          <w:tcPr>
            <w:tcW w:w="834" w:type="pct"/>
            <w:noWrap w:val="0"/>
            <w:vAlign w:val="top"/>
          </w:tcPr>
          <w:p>
            <w:pPr>
              <w:pStyle w:val="17"/>
              <w:bidi w:val="0"/>
              <w:rPr>
                <w:rFonts w:hint="eastAsia"/>
                <w:color w:val="auto"/>
                <w:lang w:val="zh-CN"/>
              </w:rPr>
            </w:pPr>
            <w:r>
              <w:rPr>
                <w:rFonts w:hint="eastAsia"/>
                <w:color w:val="auto"/>
                <w:lang w:val="zh-CN"/>
              </w:rPr>
              <w:t>10006.92（合计）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noWrap w:val="0"/>
            <w:vAlign w:val="center"/>
          </w:tcPr>
          <w:p>
            <w:pPr>
              <w:pStyle w:val="17"/>
              <w:bidi w:val="0"/>
              <w:ind w:firstLine="0" w:firstLineChars="0"/>
              <w:rPr>
                <w:rFonts w:hint="eastAsia"/>
                <w:color w:val="auto"/>
                <w:lang w:val="zh-CN"/>
              </w:rPr>
            </w:pPr>
            <w:r>
              <w:rPr>
                <w:rFonts w:hint="eastAsia"/>
                <w:color w:val="auto"/>
              </w:rPr>
              <w:t>3#厂房</w:t>
            </w:r>
          </w:p>
        </w:tc>
        <w:tc>
          <w:tcPr>
            <w:tcW w:w="833" w:type="pct"/>
            <w:noWrap w:val="0"/>
            <w:vAlign w:val="top"/>
          </w:tcPr>
          <w:p>
            <w:pPr>
              <w:pStyle w:val="17"/>
              <w:bidi w:val="0"/>
              <w:rPr>
                <w:color w:val="auto"/>
              </w:rPr>
            </w:pPr>
            <w:r>
              <w:rPr>
                <w:rFonts w:hint="eastAsia"/>
                <w:color w:val="auto"/>
                <w:lang w:val="zh-CN"/>
              </w:rPr>
              <w:t>平方米</w:t>
            </w:r>
          </w:p>
        </w:tc>
        <w:tc>
          <w:tcPr>
            <w:tcW w:w="834" w:type="pct"/>
            <w:noWrap w:val="0"/>
            <w:vAlign w:val="top"/>
          </w:tcPr>
          <w:p>
            <w:pPr>
              <w:pStyle w:val="17"/>
              <w:bidi w:val="0"/>
              <w:rPr>
                <w:rFonts w:hint="eastAsia"/>
                <w:color w:val="auto"/>
                <w:lang w:val="zh-CN"/>
              </w:rPr>
            </w:pPr>
            <w:r>
              <w:rPr>
                <w:rFonts w:hint="eastAsia"/>
                <w:color w:val="auto"/>
                <w:lang w:val="zh-CN"/>
              </w:rPr>
              <w:t>6904.96</w:t>
            </w:r>
          </w:p>
        </w:tc>
        <w:tc>
          <w:tcPr>
            <w:tcW w:w="834" w:type="pct"/>
            <w:noWrap w:val="0"/>
            <w:vAlign w:val="top"/>
          </w:tcPr>
          <w:p>
            <w:pPr>
              <w:pStyle w:val="17"/>
              <w:bidi w:val="0"/>
              <w:rPr>
                <w:rFonts w:hint="eastAsia"/>
                <w:color w:val="auto"/>
                <w:lang w:val="zh-CN"/>
              </w:rPr>
            </w:pPr>
            <w:r>
              <w:rPr>
                <w:rFonts w:hint="eastAsia"/>
                <w:color w:val="auto"/>
                <w:lang w:val="zh-CN"/>
              </w:rPr>
              <w:t>6671.28</w:t>
            </w:r>
          </w:p>
        </w:tc>
        <w:tc>
          <w:tcPr>
            <w:tcW w:w="834" w:type="pct"/>
            <w:noWrap w:val="0"/>
            <w:vAlign w:val="top"/>
          </w:tcPr>
          <w:p>
            <w:pPr>
              <w:pStyle w:val="17"/>
              <w:bidi w:val="0"/>
              <w:rPr>
                <w:rFonts w:hint="eastAsia"/>
                <w:color w:val="auto"/>
                <w:lang w:val="zh-CN"/>
              </w:rPr>
            </w:pPr>
            <w:r>
              <w:rPr>
                <w:rFonts w:hint="eastAsia"/>
                <w:color w:val="auto"/>
                <w:lang w:val="zh-CN"/>
              </w:rPr>
              <w:t>233.68</w:t>
            </w:r>
          </w:p>
        </w:tc>
        <w:tc>
          <w:tcPr>
            <w:tcW w:w="834" w:type="pct"/>
            <w:noWrap w:val="0"/>
            <w:vAlign w:val="top"/>
          </w:tcPr>
          <w:p>
            <w:pPr>
              <w:pStyle w:val="17"/>
              <w:bidi w:val="0"/>
              <w:rPr>
                <w:rFonts w:hint="eastAsia"/>
                <w:color w:val="auto"/>
                <w:lang w:val="zh-CN"/>
              </w:rPr>
            </w:pPr>
            <w:r>
              <w:rPr>
                <w:rFonts w:hint="eastAsia"/>
                <w:color w:val="auto"/>
                <w:lang w:val="zh-CN"/>
              </w:rPr>
              <w:t>3335.64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noWrap w:val="0"/>
            <w:vAlign w:val="center"/>
          </w:tcPr>
          <w:p>
            <w:pPr>
              <w:pStyle w:val="17"/>
              <w:bidi w:val="0"/>
              <w:ind w:firstLine="0" w:firstLineChars="0"/>
              <w:rPr>
                <w:rFonts w:hint="eastAsia"/>
                <w:color w:val="auto"/>
                <w:lang w:val="zh-CN"/>
              </w:rPr>
            </w:pPr>
            <w:r>
              <w:rPr>
                <w:rFonts w:hint="eastAsia"/>
                <w:color w:val="auto"/>
              </w:rPr>
              <w:t>2#宿舍楼</w:t>
            </w:r>
          </w:p>
        </w:tc>
        <w:tc>
          <w:tcPr>
            <w:tcW w:w="833" w:type="pct"/>
            <w:noWrap w:val="0"/>
            <w:vAlign w:val="top"/>
          </w:tcPr>
          <w:p>
            <w:pPr>
              <w:pStyle w:val="17"/>
              <w:bidi w:val="0"/>
              <w:rPr>
                <w:color w:val="auto"/>
              </w:rPr>
            </w:pPr>
            <w:r>
              <w:rPr>
                <w:rFonts w:hint="eastAsia"/>
                <w:color w:val="auto"/>
                <w:lang w:val="zh-CN"/>
              </w:rPr>
              <w:t>平方米</w:t>
            </w:r>
          </w:p>
        </w:tc>
        <w:tc>
          <w:tcPr>
            <w:tcW w:w="834" w:type="pct"/>
            <w:noWrap w:val="0"/>
            <w:vAlign w:val="top"/>
          </w:tcPr>
          <w:p>
            <w:pPr>
              <w:pStyle w:val="17"/>
              <w:bidi w:val="0"/>
              <w:rPr>
                <w:rFonts w:hint="eastAsia"/>
                <w:color w:val="auto"/>
                <w:lang w:val="zh-CN"/>
              </w:rPr>
            </w:pPr>
            <w:r>
              <w:rPr>
                <w:rFonts w:hint="eastAsia"/>
                <w:color w:val="auto"/>
                <w:lang w:val="zh-CN"/>
              </w:rPr>
              <w:t>3683.24</w:t>
            </w:r>
          </w:p>
        </w:tc>
        <w:tc>
          <w:tcPr>
            <w:tcW w:w="834" w:type="pct"/>
            <w:noWrap w:val="0"/>
            <w:vAlign w:val="top"/>
          </w:tcPr>
          <w:p>
            <w:pPr>
              <w:pStyle w:val="17"/>
              <w:bidi w:val="0"/>
              <w:rPr>
                <w:rFonts w:hint="eastAsia"/>
                <w:color w:val="auto"/>
                <w:lang w:val="zh-CN"/>
              </w:rPr>
            </w:pPr>
            <w:r>
              <w:rPr>
                <w:rFonts w:hint="eastAsia"/>
                <w:color w:val="auto"/>
                <w:lang w:val="zh-CN"/>
              </w:rPr>
              <w:t>3639.72</w:t>
            </w:r>
          </w:p>
        </w:tc>
        <w:tc>
          <w:tcPr>
            <w:tcW w:w="834" w:type="pct"/>
            <w:noWrap w:val="0"/>
            <w:vAlign w:val="top"/>
          </w:tcPr>
          <w:p>
            <w:pPr>
              <w:pStyle w:val="17"/>
              <w:bidi w:val="0"/>
              <w:rPr>
                <w:rFonts w:hint="eastAsia"/>
                <w:color w:val="auto"/>
                <w:lang w:val="zh-CN"/>
              </w:rPr>
            </w:pPr>
            <w:r>
              <w:rPr>
                <w:rFonts w:hint="eastAsia"/>
                <w:color w:val="auto"/>
                <w:lang w:val="zh-CN"/>
              </w:rPr>
              <w:t>43.52</w:t>
            </w:r>
          </w:p>
        </w:tc>
        <w:tc>
          <w:tcPr>
            <w:tcW w:w="834" w:type="pct"/>
            <w:noWrap w:val="0"/>
            <w:vAlign w:val="top"/>
          </w:tcPr>
          <w:p>
            <w:pPr>
              <w:pStyle w:val="17"/>
              <w:bidi w:val="0"/>
              <w:rPr>
                <w:rFonts w:hint="eastAsia"/>
                <w:color w:val="auto"/>
                <w:lang w:val="zh-CN"/>
              </w:rPr>
            </w:pPr>
            <w:r>
              <w:rPr>
                <w:rFonts w:hint="eastAsia" w:ascii="Times New Roman"/>
                <w:color w:val="auto"/>
                <w:lang w:val="zh-CN"/>
              </w:rPr>
              <w:t>1082.52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noWrap w:val="0"/>
            <w:vAlign w:val="center"/>
          </w:tcPr>
          <w:p>
            <w:pPr>
              <w:pStyle w:val="17"/>
              <w:bidi w:val="0"/>
              <w:ind w:firstLine="0" w:firstLineChars="0"/>
              <w:rPr>
                <w:rFonts w:hint="eastAsia"/>
                <w:color w:val="auto"/>
                <w:lang w:val="zh-CN"/>
              </w:rPr>
            </w:pPr>
            <w:r>
              <w:rPr>
                <w:rFonts w:hint="eastAsia"/>
                <w:color w:val="auto"/>
              </w:rPr>
              <w:t>1#办公楼</w:t>
            </w:r>
          </w:p>
        </w:tc>
        <w:tc>
          <w:tcPr>
            <w:tcW w:w="833" w:type="pct"/>
            <w:noWrap w:val="0"/>
            <w:vAlign w:val="top"/>
          </w:tcPr>
          <w:p>
            <w:pPr>
              <w:pStyle w:val="17"/>
              <w:bidi w:val="0"/>
              <w:rPr>
                <w:color w:val="auto"/>
              </w:rPr>
            </w:pPr>
            <w:r>
              <w:rPr>
                <w:rFonts w:hint="eastAsia"/>
                <w:color w:val="auto"/>
                <w:lang w:val="zh-CN"/>
              </w:rPr>
              <w:t>平方米</w:t>
            </w:r>
          </w:p>
        </w:tc>
        <w:tc>
          <w:tcPr>
            <w:tcW w:w="834" w:type="pct"/>
            <w:noWrap w:val="0"/>
            <w:vAlign w:val="top"/>
          </w:tcPr>
          <w:p>
            <w:pPr>
              <w:pStyle w:val="17"/>
              <w:bidi w:val="0"/>
              <w:rPr>
                <w:rFonts w:hint="eastAsia"/>
                <w:color w:val="auto"/>
                <w:lang w:val="zh-CN"/>
              </w:rPr>
            </w:pPr>
            <w:r>
              <w:rPr>
                <w:rFonts w:hint="eastAsia"/>
                <w:color w:val="auto"/>
                <w:lang w:val="zh-CN"/>
              </w:rPr>
              <w:t>2409.00</w:t>
            </w:r>
          </w:p>
        </w:tc>
        <w:tc>
          <w:tcPr>
            <w:tcW w:w="834" w:type="pct"/>
            <w:noWrap w:val="0"/>
            <w:vAlign w:val="top"/>
          </w:tcPr>
          <w:p>
            <w:pPr>
              <w:pStyle w:val="17"/>
              <w:bidi w:val="0"/>
              <w:rPr>
                <w:rFonts w:hint="eastAsia"/>
                <w:color w:val="auto"/>
                <w:lang w:val="zh-CN"/>
              </w:rPr>
            </w:pPr>
            <w:r>
              <w:rPr>
                <w:rFonts w:hint="eastAsia"/>
                <w:color w:val="auto"/>
                <w:lang w:val="zh-CN"/>
              </w:rPr>
              <w:t>2351.28</w:t>
            </w:r>
          </w:p>
        </w:tc>
        <w:tc>
          <w:tcPr>
            <w:tcW w:w="834" w:type="pct"/>
            <w:noWrap w:val="0"/>
            <w:vAlign w:val="top"/>
          </w:tcPr>
          <w:p>
            <w:pPr>
              <w:pStyle w:val="17"/>
              <w:bidi w:val="0"/>
              <w:rPr>
                <w:rFonts w:hint="eastAsia"/>
                <w:color w:val="auto"/>
                <w:lang w:val="zh-CN"/>
              </w:rPr>
            </w:pPr>
            <w:r>
              <w:rPr>
                <w:rFonts w:hint="eastAsia"/>
                <w:color w:val="auto"/>
                <w:lang w:val="zh-CN"/>
              </w:rPr>
              <w:t>57.72</w:t>
            </w:r>
          </w:p>
        </w:tc>
        <w:tc>
          <w:tcPr>
            <w:tcW w:w="834" w:type="pct"/>
            <w:noWrap w:val="0"/>
            <w:vAlign w:val="top"/>
          </w:tcPr>
          <w:p>
            <w:pPr>
              <w:pStyle w:val="17"/>
              <w:bidi w:val="0"/>
              <w:rPr>
                <w:rFonts w:hint="eastAsia"/>
                <w:color w:val="auto"/>
                <w:lang w:val="zh-CN"/>
              </w:rPr>
            </w:pPr>
            <w:r>
              <w:rPr>
                <w:rFonts w:hint="eastAsia"/>
                <w:color w:val="auto"/>
              </w:rPr>
              <w:t>1175.64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noWrap w:val="0"/>
            <w:vAlign w:val="center"/>
          </w:tcPr>
          <w:p>
            <w:pPr>
              <w:pStyle w:val="17"/>
              <w:bidi w:val="0"/>
              <w:ind w:firstLine="0" w:firstLineChars="0"/>
              <w:rPr>
                <w:rFonts w:hint="eastAsia"/>
                <w:color w:val="auto"/>
                <w:lang w:val="zh-CN"/>
              </w:rPr>
            </w:pPr>
            <w:r>
              <w:rPr>
                <w:rFonts w:hint="eastAsia"/>
                <w:color w:val="auto"/>
                <w:lang w:val="en-US" w:eastAsia="zh-CN"/>
              </w:rPr>
              <w:t>设备用房</w:t>
            </w:r>
          </w:p>
        </w:tc>
        <w:tc>
          <w:tcPr>
            <w:tcW w:w="833" w:type="pct"/>
            <w:noWrap w:val="0"/>
            <w:vAlign w:val="top"/>
          </w:tcPr>
          <w:p>
            <w:pPr>
              <w:pStyle w:val="17"/>
              <w:bidi w:val="0"/>
              <w:rPr>
                <w:color w:val="auto"/>
              </w:rPr>
            </w:pPr>
            <w:r>
              <w:rPr>
                <w:rFonts w:hint="eastAsia"/>
                <w:color w:val="auto"/>
                <w:lang w:val="zh-CN"/>
              </w:rPr>
              <w:t>平方米</w:t>
            </w:r>
          </w:p>
        </w:tc>
        <w:tc>
          <w:tcPr>
            <w:tcW w:w="1521" w:type="dxa"/>
            <w:noWrap w:val="0"/>
            <w:vAlign w:val="center"/>
          </w:tcPr>
          <w:p>
            <w:pPr>
              <w:pStyle w:val="17"/>
              <w:bidi w:val="0"/>
              <w:ind w:firstLine="0" w:firstLineChars="0"/>
              <w:rPr>
                <w:rFonts w:hint="default" w:eastAsia="仿宋"/>
                <w:color w:val="auto"/>
                <w:lang w:val="en-US" w:eastAsia="zh-CN"/>
              </w:rPr>
            </w:pPr>
            <w:r>
              <w:rPr>
                <w:rFonts w:hint="eastAsia"/>
                <w:color w:val="auto"/>
                <w:lang w:val="en-US" w:eastAsia="zh-CN"/>
              </w:rPr>
              <w:t>190.00</w:t>
            </w:r>
          </w:p>
        </w:tc>
        <w:tc>
          <w:tcPr>
            <w:tcW w:w="1521" w:type="dxa"/>
            <w:noWrap w:val="0"/>
            <w:vAlign w:val="center"/>
          </w:tcPr>
          <w:p>
            <w:pPr>
              <w:pStyle w:val="17"/>
              <w:bidi w:val="0"/>
              <w:ind w:firstLine="0" w:firstLineChars="0"/>
              <w:rPr>
                <w:color w:val="auto"/>
              </w:rPr>
            </w:pPr>
            <w:r>
              <w:rPr>
                <w:rFonts w:hint="eastAsia"/>
                <w:color w:val="auto"/>
                <w:lang w:val="en-US" w:eastAsia="zh-CN"/>
              </w:rPr>
              <w:t>190.00</w:t>
            </w:r>
          </w:p>
        </w:tc>
        <w:tc>
          <w:tcPr>
            <w:tcW w:w="834" w:type="pct"/>
            <w:noWrap w:val="0"/>
            <w:vAlign w:val="top"/>
          </w:tcPr>
          <w:p>
            <w:pPr>
              <w:pStyle w:val="17"/>
              <w:bidi w:val="0"/>
              <w:rPr>
                <w:rFonts w:hint="eastAsia" w:eastAsia="仿宋"/>
                <w:color w:val="auto"/>
                <w:lang w:val="en-US" w:eastAsia="zh-CN"/>
              </w:rPr>
            </w:pPr>
            <w:r>
              <w:rPr>
                <w:rFonts w:hint="eastAsia"/>
                <w:color w:val="auto"/>
                <w:lang w:val="en-US" w:eastAsia="zh-CN"/>
              </w:rPr>
              <w:t>/</w:t>
            </w:r>
          </w:p>
        </w:tc>
        <w:tc>
          <w:tcPr>
            <w:tcW w:w="1518" w:type="dxa"/>
            <w:noWrap w:val="0"/>
            <w:vAlign w:val="center"/>
          </w:tcPr>
          <w:p>
            <w:pPr>
              <w:pStyle w:val="17"/>
              <w:bidi w:val="0"/>
              <w:ind w:firstLine="0" w:firstLineChars="0"/>
              <w:rPr>
                <w:rFonts w:hint="eastAsia"/>
                <w:color w:val="auto"/>
                <w:lang w:val="zh-CN"/>
              </w:rPr>
            </w:pPr>
            <w:r>
              <w:rPr>
                <w:rFonts w:hint="eastAsia"/>
                <w:color w:val="auto"/>
                <w:lang w:val="en-US" w:eastAsia="zh-CN"/>
              </w:rPr>
              <w:t>190.00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noWrap w:val="0"/>
            <w:vAlign w:val="center"/>
          </w:tcPr>
          <w:p>
            <w:pPr>
              <w:pStyle w:val="17"/>
              <w:bidi w:val="0"/>
              <w:ind w:firstLine="0" w:firstLineChars="0"/>
              <w:rPr>
                <w:rFonts w:hint="eastAsia"/>
                <w:color w:val="auto"/>
              </w:rPr>
            </w:pPr>
            <w:r>
              <w:rPr>
                <w:rFonts w:hint="eastAsia"/>
                <w:color w:val="auto"/>
              </w:rPr>
              <w:t>门卫</w:t>
            </w:r>
          </w:p>
        </w:tc>
        <w:tc>
          <w:tcPr>
            <w:tcW w:w="833" w:type="pct"/>
            <w:noWrap w:val="0"/>
            <w:vAlign w:val="top"/>
          </w:tcPr>
          <w:p>
            <w:pPr>
              <w:pStyle w:val="17"/>
              <w:bidi w:val="0"/>
              <w:rPr>
                <w:rFonts w:hint="eastAsia"/>
                <w:color w:val="auto"/>
                <w:lang w:val="zh-CN"/>
              </w:rPr>
            </w:pPr>
            <w:r>
              <w:rPr>
                <w:rFonts w:hint="eastAsia" w:ascii="Times New Roman"/>
                <w:color w:val="auto"/>
                <w:lang w:val="zh-CN"/>
              </w:rPr>
              <w:t>平方米</w:t>
            </w:r>
          </w:p>
        </w:tc>
        <w:tc>
          <w:tcPr>
            <w:tcW w:w="1521" w:type="dxa"/>
            <w:noWrap w:val="0"/>
            <w:vAlign w:val="center"/>
          </w:tcPr>
          <w:p>
            <w:pPr>
              <w:pStyle w:val="17"/>
              <w:bidi w:val="0"/>
              <w:ind w:firstLine="0" w:firstLineChars="0"/>
              <w:rPr>
                <w:rFonts w:hint="eastAsia"/>
                <w:color w:val="auto"/>
                <w:lang w:val="en-US" w:eastAsia="zh-CN"/>
              </w:rPr>
            </w:pPr>
            <w:r>
              <w:rPr>
                <w:rFonts w:hint="eastAsia"/>
                <w:color w:val="auto"/>
                <w:lang w:val="en-US" w:eastAsia="zh-CN"/>
              </w:rPr>
              <w:t>48.00</w:t>
            </w:r>
          </w:p>
        </w:tc>
        <w:tc>
          <w:tcPr>
            <w:tcW w:w="1521" w:type="dxa"/>
            <w:noWrap w:val="0"/>
            <w:vAlign w:val="center"/>
          </w:tcPr>
          <w:p>
            <w:pPr>
              <w:pStyle w:val="17"/>
              <w:bidi w:val="0"/>
              <w:ind w:firstLine="0" w:firstLineChars="0"/>
              <w:rPr>
                <w:rFonts w:hint="eastAsia"/>
                <w:color w:val="auto"/>
                <w:lang w:val="zh-CN"/>
              </w:rPr>
            </w:pPr>
            <w:r>
              <w:rPr>
                <w:rFonts w:hint="eastAsia"/>
                <w:color w:val="auto"/>
                <w:lang w:val="en-US" w:eastAsia="zh-CN"/>
              </w:rPr>
              <w:t>48.00</w:t>
            </w:r>
          </w:p>
        </w:tc>
        <w:tc>
          <w:tcPr>
            <w:tcW w:w="834" w:type="pct"/>
            <w:noWrap w:val="0"/>
            <w:vAlign w:val="top"/>
          </w:tcPr>
          <w:p>
            <w:pPr>
              <w:pStyle w:val="17"/>
              <w:bidi w:val="0"/>
              <w:rPr>
                <w:rFonts w:hint="eastAsia"/>
                <w:color w:val="auto"/>
                <w:lang w:val="en-US" w:eastAsia="zh-CN"/>
              </w:rPr>
            </w:pPr>
            <w:r>
              <w:rPr>
                <w:rFonts w:hint="eastAsia" w:ascii="Times New Roman" w:eastAsia="宋体"/>
                <w:color w:val="auto"/>
                <w:lang w:val="en-US" w:eastAsia="zh-CN"/>
              </w:rPr>
              <w:t>/</w:t>
            </w:r>
          </w:p>
        </w:tc>
        <w:tc>
          <w:tcPr>
            <w:tcW w:w="1518" w:type="dxa"/>
            <w:noWrap w:val="0"/>
            <w:vAlign w:val="center"/>
          </w:tcPr>
          <w:p>
            <w:pPr>
              <w:pStyle w:val="17"/>
              <w:bidi w:val="0"/>
              <w:ind w:firstLine="0" w:firstLineChars="0"/>
              <w:rPr>
                <w:rFonts w:hint="eastAsia"/>
                <w:color w:val="auto"/>
                <w:lang w:val="zh-CN"/>
              </w:rPr>
            </w:pPr>
            <w:r>
              <w:rPr>
                <w:rFonts w:hint="eastAsia"/>
                <w:color w:val="auto"/>
                <w:lang w:val="en-US" w:eastAsia="zh-CN"/>
              </w:rPr>
              <w:t>48.00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noWrap w:val="0"/>
            <w:vAlign w:val="top"/>
          </w:tcPr>
          <w:p>
            <w:pPr>
              <w:pStyle w:val="17"/>
              <w:bidi w:val="0"/>
              <w:rPr>
                <w:rFonts w:hint="eastAsia"/>
                <w:color w:val="auto"/>
                <w:lang w:val="zh-CN"/>
              </w:rPr>
            </w:pPr>
            <w:r>
              <w:rPr>
                <w:rFonts w:hint="eastAsia"/>
                <w:color w:val="auto"/>
                <w:lang w:val="zh-CN"/>
              </w:rPr>
              <w:t>合计</w:t>
            </w:r>
          </w:p>
        </w:tc>
        <w:tc>
          <w:tcPr>
            <w:tcW w:w="833" w:type="pct"/>
            <w:noWrap w:val="0"/>
            <w:vAlign w:val="top"/>
          </w:tcPr>
          <w:p>
            <w:pPr>
              <w:pStyle w:val="17"/>
              <w:bidi w:val="0"/>
              <w:rPr>
                <w:rFonts w:hint="eastAsia"/>
                <w:color w:val="auto"/>
                <w:lang w:val="zh-CN"/>
              </w:rPr>
            </w:pPr>
            <w:r>
              <w:rPr>
                <w:rFonts w:hint="eastAsia"/>
                <w:color w:val="auto"/>
                <w:lang w:val="zh-CN"/>
              </w:rPr>
              <w:t>平方米</w:t>
            </w:r>
          </w:p>
        </w:tc>
        <w:tc>
          <w:tcPr>
            <w:tcW w:w="834" w:type="pct"/>
            <w:noWrap w:val="0"/>
            <w:vAlign w:val="top"/>
          </w:tcPr>
          <w:p>
            <w:pPr>
              <w:pStyle w:val="17"/>
              <w:bidi w:val="0"/>
              <w:rPr>
                <w:rFonts w:hint="eastAsia"/>
                <w:color w:val="auto"/>
                <w:lang w:val="zh-CN"/>
              </w:rPr>
            </w:pPr>
            <w:r>
              <w:rPr>
                <w:rFonts w:hint="eastAsia"/>
                <w:color w:val="auto"/>
                <w:lang w:val="zh-CN"/>
              </w:rPr>
              <w:t>43957.00</w:t>
            </w:r>
          </w:p>
        </w:tc>
        <w:tc>
          <w:tcPr>
            <w:tcW w:w="834" w:type="pct"/>
            <w:noWrap w:val="0"/>
            <w:vAlign w:val="top"/>
          </w:tcPr>
          <w:p>
            <w:pPr>
              <w:pStyle w:val="17"/>
              <w:bidi w:val="0"/>
              <w:rPr>
                <w:rFonts w:hint="eastAsia"/>
                <w:color w:val="auto"/>
                <w:lang w:val="zh-CN"/>
              </w:rPr>
            </w:pPr>
            <w:r>
              <w:rPr>
                <w:rFonts w:hint="eastAsia"/>
                <w:color w:val="auto"/>
                <w:lang w:val="zh-CN"/>
              </w:rPr>
              <w:t>42921.04</w:t>
            </w:r>
          </w:p>
        </w:tc>
        <w:tc>
          <w:tcPr>
            <w:tcW w:w="834" w:type="pct"/>
            <w:noWrap w:val="0"/>
            <w:vAlign w:val="top"/>
          </w:tcPr>
          <w:p>
            <w:pPr>
              <w:pStyle w:val="17"/>
              <w:bidi w:val="0"/>
              <w:rPr>
                <w:rFonts w:hint="eastAsia"/>
                <w:color w:val="auto"/>
                <w:lang w:val="zh-CN"/>
              </w:rPr>
            </w:pPr>
            <w:r>
              <w:rPr>
                <w:rFonts w:hint="eastAsia"/>
                <w:color w:val="auto"/>
                <w:lang w:val="zh-CN"/>
              </w:rPr>
              <w:t>1035.96</w:t>
            </w:r>
          </w:p>
        </w:tc>
        <w:tc>
          <w:tcPr>
            <w:tcW w:w="834" w:type="pct"/>
            <w:noWrap w:val="0"/>
            <w:vAlign w:val="top"/>
          </w:tcPr>
          <w:p>
            <w:pPr>
              <w:pStyle w:val="17"/>
              <w:bidi w:val="0"/>
              <w:rPr>
                <w:rFonts w:hint="eastAsia"/>
                <w:color w:val="auto"/>
                <w:lang w:val="zh-CN"/>
              </w:rPr>
            </w:pPr>
            <w:r>
              <w:rPr>
                <w:rFonts w:hint="eastAsia"/>
                <w:color w:val="auto"/>
                <w:lang w:val="zh-CN"/>
              </w:rPr>
              <w:t>15838.72</w:t>
            </w:r>
          </w:p>
        </w:tc>
      </w:tr>
    </w:tbl>
    <w:p>
      <w:pPr>
        <w:bidi w:val="0"/>
        <w:rPr>
          <w:rFonts w:hint="eastAsia"/>
          <w:color w:val="auto"/>
          <w:lang w:val="en-US" w:eastAsia="zh-CN"/>
        </w:rPr>
      </w:pPr>
      <w:r>
        <w:rPr>
          <w:rFonts w:hint="eastAsia"/>
          <w:color w:val="auto"/>
          <w:lang w:val="en-US" w:eastAsia="zh-CN"/>
        </w:rPr>
        <w:t>1、标准化厂房</w:t>
      </w:r>
    </w:p>
    <w:p>
      <w:pPr>
        <w:bidi w:val="0"/>
        <w:rPr>
          <w:rFonts w:hint="eastAsia"/>
          <w:color w:val="auto"/>
          <w:lang w:val="en-US" w:eastAsia="zh-CN"/>
        </w:rPr>
      </w:pPr>
      <w:r>
        <w:rPr>
          <w:rFonts w:hint="eastAsia"/>
          <w:color w:val="auto"/>
          <w:lang w:val="en-US" w:eastAsia="zh-CN"/>
        </w:rPr>
        <w:t>标准化厂房共4栋，轴线尺寸为48m×72m；占地面积为13342.56㎡，建筑面积为37626.76㎡；首层层高7.8米，二~三层层高7.8米，室内外高差0.15米，3#建筑高度15.75米，4~6#建筑高度23.55米，；建筑耐火等级为二级，燃烧物较少的多层丁类厂房，建筑层数为2-3层。</w:t>
      </w:r>
      <w:bookmarkStart w:id="50" w:name="_GoBack"/>
      <w:bookmarkEnd w:id="50"/>
    </w:p>
    <w:p>
      <w:pPr>
        <w:bidi w:val="0"/>
        <w:rPr>
          <w:rFonts w:hint="default"/>
          <w:color w:val="auto"/>
          <w:lang w:val="en-US" w:eastAsia="zh-CN"/>
        </w:rPr>
      </w:pPr>
      <w:r>
        <w:rPr>
          <w:rFonts w:hint="default"/>
          <w:color w:val="auto"/>
          <w:lang w:val="en-US" w:eastAsia="zh-CN"/>
        </w:rPr>
        <w:t>围护墙采用2</w:t>
      </w:r>
      <w:r>
        <w:rPr>
          <w:rFonts w:hint="eastAsia"/>
          <w:color w:val="auto"/>
          <w:lang w:val="en-US" w:eastAsia="zh-CN"/>
        </w:rPr>
        <w:t>0</w:t>
      </w:r>
      <w:r>
        <w:rPr>
          <w:rFonts w:hint="default"/>
          <w:color w:val="auto"/>
          <w:lang w:val="en-US" w:eastAsia="zh-CN"/>
        </w:rPr>
        <w:t>0厚烧结页岩多孔砖，屋面采用钢筋混凝土平屋面，屋面防水等级为</w:t>
      </w:r>
      <w:r>
        <w:rPr>
          <w:rFonts w:hint="eastAsia"/>
          <w:color w:val="auto"/>
          <w:lang w:val="en-US" w:eastAsia="zh-CN"/>
        </w:rPr>
        <w:t>一级</w:t>
      </w:r>
      <w:r>
        <w:rPr>
          <w:rFonts w:hint="default"/>
          <w:color w:val="auto"/>
          <w:lang w:val="en-US" w:eastAsia="zh-CN"/>
        </w:rPr>
        <w:t>，</w:t>
      </w:r>
      <w:r>
        <w:rPr>
          <w:rFonts w:hint="eastAsia"/>
          <w:color w:val="auto"/>
          <w:lang w:val="en-US" w:eastAsia="zh-CN"/>
        </w:rPr>
        <w:t>三</w:t>
      </w:r>
      <w:r>
        <w:rPr>
          <w:rFonts w:hint="default"/>
          <w:color w:val="auto"/>
          <w:lang w:val="en-US" w:eastAsia="zh-CN"/>
        </w:rPr>
        <w:t>道防水设防，屋面采用女儿墙外排水。</w:t>
      </w:r>
    </w:p>
    <w:p>
      <w:pPr>
        <w:bidi w:val="0"/>
        <w:rPr>
          <w:rFonts w:hint="default"/>
          <w:color w:val="auto"/>
          <w:lang w:val="en-US" w:eastAsia="zh-CN"/>
        </w:rPr>
      </w:pPr>
      <w:r>
        <w:rPr>
          <w:rFonts w:hint="default"/>
          <w:color w:val="auto"/>
          <w:lang w:val="en-US" w:eastAsia="zh-CN"/>
        </w:rPr>
        <w:t>主要功能：</w:t>
      </w:r>
      <w:r>
        <w:rPr>
          <w:rFonts w:hint="eastAsia"/>
          <w:color w:val="auto"/>
        </w:rPr>
        <w:t>标准化</w:t>
      </w:r>
      <w:r>
        <w:rPr>
          <w:color w:val="auto"/>
        </w:rPr>
        <w:t>厂房</w:t>
      </w:r>
      <w:r>
        <w:rPr>
          <w:rFonts w:hint="default"/>
          <w:color w:val="auto"/>
          <w:lang w:val="en-US" w:eastAsia="zh-CN"/>
        </w:rPr>
        <w:t>，</w:t>
      </w:r>
      <w:r>
        <w:rPr>
          <w:rFonts w:hint="eastAsia"/>
          <w:color w:val="auto"/>
          <w:lang w:val="en-US" w:eastAsia="zh-CN"/>
        </w:rPr>
        <w:t>打造</w:t>
      </w:r>
      <w:r>
        <w:rPr>
          <w:color w:val="auto"/>
        </w:rPr>
        <w:t>高品位、高质量的</w:t>
      </w:r>
      <w:r>
        <w:rPr>
          <w:rFonts w:hint="eastAsia"/>
          <w:color w:val="auto"/>
        </w:rPr>
        <w:t>标准化</w:t>
      </w:r>
      <w:r>
        <w:rPr>
          <w:color w:val="auto"/>
        </w:rPr>
        <w:t>厂房</w:t>
      </w:r>
      <w:r>
        <w:rPr>
          <w:rFonts w:hint="eastAsia"/>
          <w:color w:val="auto"/>
        </w:rPr>
        <w:t>、</w:t>
      </w:r>
      <w:r>
        <w:rPr>
          <w:color w:val="auto"/>
        </w:rPr>
        <w:t>办公、商务经济发展引擎区</w:t>
      </w:r>
      <w:r>
        <w:rPr>
          <w:rFonts w:hint="default"/>
          <w:color w:val="auto"/>
          <w:lang w:val="en-US" w:eastAsia="zh-CN"/>
        </w:rPr>
        <w:t>。</w:t>
      </w:r>
    </w:p>
    <w:p>
      <w:pPr>
        <w:bidi w:val="0"/>
        <w:rPr>
          <w:rFonts w:hint="default"/>
          <w:color w:val="auto"/>
          <w:lang w:val="en-US" w:eastAsia="zh-CN"/>
        </w:rPr>
      </w:pPr>
      <w:r>
        <w:rPr>
          <w:rFonts w:hint="default"/>
          <w:color w:val="auto"/>
          <w:lang w:val="en-US" w:eastAsia="zh-CN"/>
        </w:rPr>
        <w:t>立面处理：外墙以白色涂料为主，局部点缀灰色色带。</w:t>
      </w:r>
    </w:p>
    <w:p>
      <w:pPr>
        <w:bidi w:val="0"/>
        <w:rPr>
          <w:rFonts w:hint="eastAsia"/>
          <w:color w:val="auto"/>
          <w:lang w:val="en-US" w:eastAsia="zh-CN"/>
        </w:rPr>
      </w:pPr>
      <w:r>
        <w:rPr>
          <w:rFonts w:hint="eastAsia"/>
          <w:color w:val="auto"/>
          <w:lang w:val="en-US" w:eastAsia="zh-CN"/>
        </w:rPr>
        <w:t>2、办公楼</w:t>
      </w:r>
    </w:p>
    <w:p>
      <w:pPr>
        <w:bidi w:val="0"/>
        <w:rPr>
          <w:rFonts w:hint="eastAsia"/>
          <w:color w:val="auto"/>
          <w:lang w:val="en-US" w:eastAsia="zh-CN"/>
        </w:rPr>
      </w:pPr>
      <w:r>
        <w:rPr>
          <w:rFonts w:hint="eastAsia"/>
          <w:color w:val="auto"/>
          <w:lang w:val="en-US" w:eastAsia="zh-CN"/>
        </w:rPr>
        <w:t>办公楼轴线尺寸为18m×57m，位于地块最北侧，占地面积为1175.64㎡，建筑面积为2409.00㎡；首层层高4.2米，二层层高3.6米，室内外高差0.15米，建筑高度9.00米；建筑耐火等级为二级，建筑层数为2层。</w:t>
      </w:r>
    </w:p>
    <w:p>
      <w:pPr>
        <w:bidi w:val="0"/>
        <w:rPr>
          <w:rFonts w:hint="default"/>
          <w:color w:val="auto"/>
          <w:lang w:val="en-US" w:eastAsia="zh-CN"/>
        </w:rPr>
      </w:pPr>
      <w:r>
        <w:rPr>
          <w:rFonts w:hint="default"/>
          <w:color w:val="auto"/>
          <w:lang w:val="en-US" w:eastAsia="zh-CN"/>
        </w:rPr>
        <w:t>围护墙采用2</w:t>
      </w:r>
      <w:r>
        <w:rPr>
          <w:rFonts w:hint="eastAsia"/>
          <w:color w:val="auto"/>
          <w:lang w:val="en-US" w:eastAsia="zh-CN"/>
        </w:rPr>
        <w:t>0</w:t>
      </w:r>
      <w:r>
        <w:rPr>
          <w:rFonts w:hint="default"/>
          <w:color w:val="auto"/>
          <w:lang w:val="en-US" w:eastAsia="zh-CN"/>
        </w:rPr>
        <w:t>0厚烧结页岩多孔砖，屋面采用钢筋混凝土平屋面，屋面防水等级为</w:t>
      </w:r>
      <w:r>
        <w:rPr>
          <w:rFonts w:hint="eastAsia"/>
          <w:color w:val="auto"/>
          <w:lang w:val="en-US" w:eastAsia="zh-CN"/>
        </w:rPr>
        <w:t>一级</w:t>
      </w:r>
      <w:r>
        <w:rPr>
          <w:rFonts w:hint="default"/>
          <w:color w:val="auto"/>
          <w:lang w:val="en-US" w:eastAsia="zh-CN"/>
        </w:rPr>
        <w:t>，</w:t>
      </w:r>
      <w:r>
        <w:rPr>
          <w:rFonts w:hint="eastAsia"/>
          <w:color w:val="auto"/>
          <w:lang w:val="en-US" w:eastAsia="zh-CN"/>
        </w:rPr>
        <w:t>三</w:t>
      </w:r>
      <w:r>
        <w:rPr>
          <w:rFonts w:hint="default"/>
          <w:color w:val="auto"/>
          <w:lang w:val="en-US" w:eastAsia="zh-CN"/>
        </w:rPr>
        <w:t>道防水设防，屋面采用女儿墙外排水。</w:t>
      </w:r>
    </w:p>
    <w:p>
      <w:pPr>
        <w:bidi w:val="0"/>
        <w:rPr>
          <w:rFonts w:hint="default"/>
          <w:color w:val="auto"/>
          <w:lang w:val="en-US" w:eastAsia="zh-CN"/>
        </w:rPr>
      </w:pPr>
      <w:r>
        <w:rPr>
          <w:rFonts w:hint="default"/>
          <w:color w:val="auto"/>
          <w:lang w:val="en-US" w:eastAsia="zh-CN"/>
        </w:rPr>
        <w:t>主要功能：</w:t>
      </w:r>
    </w:p>
    <w:p>
      <w:pPr>
        <w:bidi w:val="0"/>
        <w:rPr>
          <w:rFonts w:hint="default"/>
          <w:color w:val="auto"/>
          <w:lang w:val="en-US" w:eastAsia="zh-CN"/>
        </w:rPr>
      </w:pPr>
      <w:r>
        <w:rPr>
          <w:rFonts w:hint="default"/>
          <w:color w:val="auto"/>
          <w:lang w:val="en-US" w:eastAsia="zh-CN"/>
        </w:rPr>
        <w:t>一层主要功能：</w:t>
      </w:r>
      <w:r>
        <w:rPr>
          <w:rFonts w:hint="eastAsia"/>
          <w:color w:val="auto"/>
          <w:lang w:val="en-US" w:eastAsia="zh-CN"/>
        </w:rPr>
        <w:t>门</w:t>
      </w:r>
      <w:r>
        <w:rPr>
          <w:rFonts w:hint="default"/>
          <w:color w:val="auto"/>
          <w:lang w:val="en-US" w:eastAsia="zh-CN"/>
        </w:rPr>
        <w:t>厅、</w:t>
      </w:r>
      <w:r>
        <w:rPr>
          <w:rFonts w:hint="eastAsia"/>
          <w:color w:val="auto"/>
          <w:lang w:val="en-US" w:eastAsia="zh-CN"/>
        </w:rPr>
        <w:t>展厅、休息室、监控室、信息机房、</w:t>
      </w:r>
      <w:r>
        <w:rPr>
          <w:rFonts w:hint="default"/>
          <w:color w:val="auto"/>
          <w:lang w:val="en-US" w:eastAsia="zh-CN"/>
        </w:rPr>
        <w:t>卫生间；</w:t>
      </w:r>
      <w:r>
        <w:rPr>
          <w:rFonts w:hint="eastAsia"/>
          <w:color w:val="auto"/>
          <w:lang w:val="en-US" w:eastAsia="zh-CN"/>
        </w:rPr>
        <w:t>垃圾间、公共卫生间。</w:t>
      </w:r>
    </w:p>
    <w:p>
      <w:pPr>
        <w:bidi w:val="0"/>
        <w:rPr>
          <w:rFonts w:hint="eastAsia"/>
          <w:color w:val="auto"/>
          <w:lang w:val="en-US" w:eastAsia="zh-CN"/>
        </w:rPr>
      </w:pPr>
      <w:r>
        <w:rPr>
          <w:rFonts w:hint="default"/>
          <w:color w:val="auto"/>
          <w:lang w:val="en-US" w:eastAsia="zh-CN"/>
        </w:rPr>
        <w:t>二层主要功能：办公室、</w:t>
      </w:r>
      <w:r>
        <w:rPr>
          <w:rFonts w:hint="eastAsia"/>
          <w:color w:val="auto"/>
          <w:lang w:val="en-US" w:eastAsia="zh-CN"/>
        </w:rPr>
        <w:t>会议室、休息区。</w:t>
      </w:r>
    </w:p>
    <w:p>
      <w:pPr>
        <w:bidi w:val="0"/>
        <w:rPr>
          <w:rFonts w:hint="default"/>
          <w:color w:val="auto"/>
          <w:lang w:val="en-US" w:eastAsia="zh-CN"/>
        </w:rPr>
      </w:pPr>
      <w:r>
        <w:rPr>
          <w:rFonts w:hint="default"/>
          <w:color w:val="auto"/>
          <w:lang w:val="en-US" w:eastAsia="zh-CN"/>
        </w:rPr>
        <w:t>竖向交通由楼梯承担，设置2</w:t>
      </w:r>
      <w:r>
        <w:rPr>
          <w:rFonts w:hint="eastAsia"/>
          <w:color w:val="auto"/>
          <w:lang w:val="en-US" w:eastAsia="zh-CN"/>
        </w:rPr>
        <w:t>部</w:t>
      </w:r>
      <w:r>
        <w:rPr>
          <w:rFonts w:hint="default"/>
          <w:color w:val="auto"/>
          <w:lang w:val="en-US" w:eastAsia="zh-CN"/>
        </w:rPr>
        <w:t>楼梯间，可满足疏散要求，</w:t>
      </w:r>
      <w:r>
        <w:rPr>
          <w:rFonts w:hint="eastAsia"/>
          <w:color w:val="auto"/>
          <w:lang w:val="en-US" w:eastAsia="zh-CN"/>
        </w:rPr>
        <w:t>设置两台电梯，</w:t>
      </w:r>
      <w:r>
        <w:rPr>
          <w:rFonts w:hint="default"/>
          <w:color w:val="auto"/>
          <w:lang w:val="en-US" w:eastAsia="zh-CN"/>
        </w:rPr>
        <w:t>建筑平面采用一廊</w:t>
      </w:r>
      <w:r>
        <w:rPr>
          <w:rFonts w:hint="eastAsia"/>
          <w:color w:val="auto"/>
          <w:lang w:val="en-US" w:eastAsia="zh-CN"/>
        </w:rPr>
        <w:t>两房</w:t>
      </w:r>
      <w:r>
        <w:rPr>
          <w:rFonts w:hint="default"/>
          <w:color w:val="auto"/>
          <w:lang w:val="en-US" w:eastAsia="zh-CN"/>
        </w:rPr>
        <w:t>房式，由走廊承担水平交通。</w:t>
      </w:r>
    </w:p>
    <w:p>
      <w:pPr>
        <w:bidi w:val="0"/>
        <w:rPr>
          <w:rFonts w:hint="default"/>
          <w:color w:val="auto"/>
          <w:lang w:val="en-US" w:eastAsia="zh-CN"/>
        </w:rPr>
      </w:pPr>
      <w:r>
        <w:rPr>
          <w:rFonts w:hint="default"/>
          <w:color w:val="auto"/>
          <w:lang w:val="en-US" w:eastAsia="zh-CN"/>
        </w:rPr>
        <w:t>立面处理：外墙采用灰色+木色+白色外墙真石漆</w:t>
      </w:r>
    </w:p>
    <w:p>
      <w:pPr>
        <w:bidi w:val="0"/>
        <w:rPr>
          <w:rFonts w:hint="eastAsia"/>
          <w:color w:val="auto"/>
          <w:lang w:val="en-US" w:eastAsia="zh-CN"/>
        </w:rPr>
      </w:pPr>
      <w:r>
        <w:rPr>
          <w:rFonts w:hint="eastAsia"/>
          <w:color w:val="auto"/>
          <w:lang w:val="en-US" w:eastAsia="zh-CN"/>
        </w:rPr>
        <w:t>3、宿舍楼</w:t>
      </w:r>
    </w:p>
    <w:p>
      <w:pPr>
        <w:bidi w:val="0"/>
        <w:rPr>
          <w:rFonts w:hint="eastAsia"/>
          <w:color w:val="auto"/>
          <w:lang w:val="en-US" w:eastAsia="zh-CN"/>
        </w:rPr>
      </w:pPr>
      <w:r>
        <w:rPr>
          <w:rFonts w:hint="eastAsia"/>
          <w:color w:val="auto"/>
          <w:lang w:val="en-US" w:eastAsia="zh-CN"/>
        </w:rPr>
        <w:t>办公楼轴线尺寸为20m×58m，占地面积为1082.52，建筑面积为3683.24㎡；首层层高4.6米，二~三层层高3.4米，室内外高差0.15米，建筑高度12.60米，建筑耐火等级为二级，建筑层数为3层。</w:t>
      </w:r>
    </w:p>
    <w:p>
      <w:pPr>
        <w:bidi w:val="0"/>
        <w:rPr>
          <w:rFonts w:hint="default"/>
          <w:color w:val="auto"/>
          <w:lang w:val="en-US" w:eastAsia="zh-CN"/>
        </w:rPr>
      </w:pPr>
      <w:r>
        <w:rPr>
          <w:rFonts w:hint="default"/>
          <w:color w:val="auto"/>
          <w:lang w:val="en-US" w:eastAsia="zh-CN"/>
        </w:rPr>
        <w:t>围护墙采用2</w:t>
      </w:r>
      <w:r>
        <w:rPr>
          <w:rFonts w:hint="eastAsia"/>
          <w:color w:val="auto"/>
          <w:lang w:val="en-US" w:eastAsia="zh-CN"/>
        </w:rPr>
        <w:t>0</w:t>
      </w:r>
      <w:r>
        <w:rPr>
          <w:rFonts w:hint="default"/>
          <w:color w:val="auto"/>
          <w:lang w:val="en-US" w:eastAsia="zh-CN"/>
        </w:rPr>
        <w:t>0厚烧结页岩多孔砖，屋面采用钢筋混凝土平屋面，屋面防水等级为</w:t>
      </w:r>
      <w:r>
        <w:rPr>
          <w:rFonts w:hint="eastAsia"/>
          <w:color w:val="auto"/>
          <w:lang w:val="en-US" w:eastAsia="zh-CN"/>
        </w:rPr>
        <w:t>一级</w:t>
      </w:r>
      <w:r>
        <w:rPr>
          <w:rFonts w:hint="default"/>
          <w:color w:val="auto"/>
          <w:lang w:val="en-US" w:eastAsia="zh-CN"/>
        </w:rPr>
        <w:t>，</w:t>
      </w:r>
      <w:r>
        <w:rPr>
          <w:rFonts w:hint="eastAsia"/>
          <w:color w:val="auto"/>
          <w:lang w:val="en-US" w:eastAsia="zh-CN"/>
        </w:rPr>
        <w:t>三</w:t>
      </w:r>
      <w:r>
        <w:rPr>
          <w:rFonts w:hint="default"/>
          <w:color w:val="auto"/>
          <w:lang w:val="en-US" w:eastAsia="zh-CN"/>
        </w:rPr>
        <w:t>道防水设防，屋面采用女儿墙外排水。</w:t>
      </w:r>
    </w:p>
    <w:p>
      <w:pPr>
        <w:bidi w:val="0"/>
        <w:rPr>
          <w:rFonts w:hint="default"/>
          <w:color w:val="auto"/>
          <w:lang w:val="en-US" w:eastAsia="zh-CN"/>
        </w:rPr>
      </w:pPr>
      <w:r>
        <w:rPr>
          <w:rFonts w:hint="default"/>
          <w:color w:val="auto"/>
          <w:lang w:val="en-US" w:eastAsia="zh-CN"/>
        </w:rPr>
        <w:t>主要功能：</w:t>
      </w:r>
    </w:p>
    <w:p>
      <w:pPr>
        <w:bidi w:val="0"/>
        <w:rPr>
          <w:rFonts w:hint="default"/>
          <w:color w:val="auto"/>
          <w:lang w:val="en-US" w:eastAsia="zh-CN"/>
        </w:rPr>
      </w:pPr>
      <w:r>
        <w:rPr>
          <w:rFonts w:hint="default"/>
          <w:color w:val="auto"/>
          <w:lang w:val="en-US" w:eastAsia="zh-CN"/>
        </w:rPr>
        <w:t>一层主要功能：</w:t>
      </w:r>
      <w:r>
        <w:rPr>
          <w:rFonts w:hint="eastAsia"/>
          <w:color w:val="auto"/>
          <w:lang w:val="en-US" w:eastAsia="zh-CN"/>
        </w:rPr>
        <w:t>门厅、活动室、公共卫生间。</w:t>
      </w:r>
    </w:p>
    <w:p>
      <w:pPr>
        <w:bidi w:val="0"/>
        <w:rPr>
          <w:rFonts w:hint="eastAsia"/>
          <w:color w:val="auto"/>
          <w:lang w:val="en-US" w:eastAsia="zh-CN"/>
        </w:rPr>
      </w:pPr>
      <w:r>
        <w:rPr>
          <w:rFonts w:hint="default"/>
          <w:color w:val="auto"/>
          <w:lang w:val="en-US" w:eastAsia="zh-CN"/>
        </w:rPr>
        <w:t>二</w:t>
      </w:r>
      <w:r>
        <w:rPr>
          <w:rFonts w:hint="eastAsia"/>
          <w:color w:val="auto"/>
          <w:lang w:val="en-US" w:eastAsia="zh-CN"/>
        </w:rPr>
        <w:t>~三</w:t>
      </w:r>
      <w:r>
        <w:rPr>
          <w:rFonts w:hint="default"/>
          <w:color w:val="auto"/>
          <w:lang w:val="en-US" w:eastAsia="zh-CN"/>
        </w:rPr>
        <w:t>层主要功能：</w:t>
      </w:r>
      <w:r>
        <w:rPr>
          <w:rFonts w:hint="eastAsia"/>
          <w:color w:val="auto"/>
          <w:lang w:val="en-US" w:eastAsia="zh-CN"/>
        </w:rPr>
        <w:t>宿舍。</w:t>
      </w:r>
    </w:p>
    <w:p>
      <w:pPr>
        <w:bidi w:val="0"/>
        <w:rPr>
          <w:rFonts w:hint="default"/>
          <w:color w:val="auto"/>
          <w:lang w:val="en-US" w:eastAsia="zh-CN"/>
        </w:rPr>
      </w:pPr>
      <w:r>
        <w:rPr>
          <w:rFonts w:hint="default"/>
          <w:color w:val="auto"/>
          <w:lang w:val="en-US" w:eastAsia="zh-CN"/>
        </w:rPr>
        <w:t>竖向交通由楼梯承担，设置</w:t>
      </w:r>
      <w:r>
        <w:rPr>
          <w:rFonts w:hint="eastAsia"/>
          <w:color w:val="auto"/>
          <w:lang w:val="en-US" w:eastAsia="zh-CN"/>
        </w:rPr>
        <w:t>3部</w:t>
      </w:r>
      <w:r>
        <w:rPr>
          <w:rFonts w:hint="default"/>
          <w:color w:val="auto"/>
          <w:lang w:val="en-US" w:eastAsia="zh-CN"/>
        </w:rPr>
        <w:t>楼梯间，可满足疏散要求，</w:t>
      </w:r>
      <w:r>
        <w:rPr>
          <w:rFonts w:hint="eastAsia"/>
          <w:color w:val="auto"/>
          <w:lang w:val="en-US" w:eastAsia="zh-CN"/>
        </w:rPr>
        <w:t>设置两台电梯，</w:t>
      </w:r>
      <w:r>
        <w:rPr>
          <w:rFonts w:hint="default"/>
          <w:color w:val="auto"/>
          <w:lang w:val="en-US" w:eastAsia="zh-CN"/>
        </w:rPr>
        <w:t>建筑平面采用一廊</w:t>
      </w:r>
      <w:r>
        <w:rPr>
          <w:rFonts w:hint="eastAsia"/>
          <w:color w:val="auto"/>
          <w:lang w:val="en-US" w:eastAsia="zh-CN"/>
        </w:rPr>
        <w:t>两房</w:t>
      </w:r>
      <w:r>
        <w:rPr>
          <w:rFonts w:hint="default"/>
          <w:color w:val="auto"/>
          <w:lang w:val="en-US" w:eastAsia="zh-CN"/>
        </w:rPr>
        <w:t>房式，由走廊承担水平交通。</w:t>
      </w:r>
    </w:p>
    <w:p>
      <w:pPr>
        <w:bidi w:val="0"/>
        <w:rPr>
          <w:rFonts w:hint="default"/>
          <w:color w:val="auto"/>
          <w:lang w:val="en-US" w:eastAsia="zh-CN"/>
        </w:rPr>
      </w:pPr>
      <w:r>
        <w:rPr>
          <w:rFonts w:hint="default"/>
          <w:color w:val="auto"/>
          <w:lang w:val="en-US" w:eastAsia="zh-CN"/>
        </w:rPr>
        <w:t>立面处理：外墙采用灰色+木色+白色外墙真石漆</w:t>
      </w:r>
    </w:p>
    <w:p>
      <w:pPr>
        <w:pStyle w:val="3"/>
        <w:bidi w:val="0"/>
        <w:rPr>
          <w:color w:val="auto"/>
        </w:rPr>
      </w:pPr>
      <w:r>
        <w:rPr>
          <w:rFonts w:hint="eastAsia"/>
          <w:color w:val="auto"/>
          <w:lang w:val="en-US" w:eastAsia="zh-CN"/>
        </w:rPr>
        <w:t>室内外装修标准</w:t>
      </w:r>
    </w:p>
    <w:p>
      <w:pPr>
        <w:pStyle w:val="4"/>
        <w:bidi w:val="0"/>
        <w:rPr>
          <w:color w:val="auto"/>
        </w:rPr>
      </w:pPr>
      <w:r>
        <w:rPr>
          <w:rFonts w:hint="eastAsia"/>
          <w:color w:val="auto"/>
          <w:lang w:val="en-US" w:eastAsia="zh-CN"/>
        </w:rPr>
        <w:t>外立面装修</w:t>
      </w:r>
    </w:p>
    <w:p>
      <w:pPr>
        <w:bidi w:val="0"/>
        <w:rPr>
          <w:rFonts w:hint="eastAsia"/>
          <w:color w:val="auto"/>
          <w:lang w:val="en-US" w:eastAsia="zh-CN"/>
        </w:rPr>
      </w:pPr>
      <w:r>
        <w:rPr>
          <w:rFonts w:hint="eastAsia"/>
          <w:color w:val="auto"/>
          <w:lang w:val="en-US" w:eastAsia="zh-CN"/>
        </w:rPr>
        <w:t>各栋厂房建筑及办公楼、宿舍楼外墙均为涂料、真石漆为主。</w:t>
      </w:r>
    </w:p>
    <w:p>
      <w:pPr>
        <w:bidi w:val="0"/>
        <w:rPr>
          <w:rFonts w:hint="eastAsia"/>
          <w:color w:val="auto"/>
          <w:lang w:val="en-US" w:eastAsia="zh-CN"/>
        </w:rPr>
      </w:pPr>
      <w:r>
        <w:rPr>
          <w:rFonts w:hint="eastAsia"/>
          <w:color w:val="auto"/>
          <w:lang w:val="en-US" w:eastAsia="zh-CN"/>
        </w:rPr>
        <w:t>2.室内装修及构造</w:t>
      </w:r>
    </w:p>
    <w:p>
      <w:pPr>
        <w:bidi w:val="0"/>
        <w:rPr>
          <w:rFonts w:hint="eastAsia"/>
          <w:color w:val="auto"/>
          <w:lang w:val="en-US" w:eastAsia="zh-CN"/>
        </w:rPr>
      </w:pPr>
      <w:r>
        <w:rPr>
          <w:rFonts w:hint="eastAsia"/>
          <w:color w:val="auto"/>
          <w:lang w:val="en-US" w:eastAsia="zh-CN"/>
        </w:rPr>
        <w:t>严格按照《建筑内部装修设计防火规范》GB50222—95(2001年修订版)执行，尽量采用不燃或难燃材料，以实用、耐久、经济为指导原则，风格简洁明快。</w:t>
      </w:r>
    </w:p>
    <w:p>
      <w:pPr>
        <w:bidi w:val="0"/>
        <w:rPr>
          <w:rFonts w:hint="eastAsia"/>
          <w:color w:val="auto"/>
          <w:lang w:val="en-US" w:eastAsia="zh-CN"/>
        </w:rPr>
      </w:pPr>
      <w:r>
        <w:rPr>
          <w:rFonts w:hint="eastAsia"/>
          <w:color w:val="auto"/>
          <w:lang w:val="en-US" w:eastAsia="zh-CN"/>
        </w:rPr>
        <w:t>具体做法详装修作法表。</w:t>
      </w:r>
    </w:p>
    <w:p>
      <w:pPr>
        <w:bidi w:val="0"/>
        <w:rPr>
          <w:rFonts w:hint="eastAsia"/>
          <w:color w:val="auto"/>
        </w:rPr>
      </w:pPr>
      <w:r>
        <w:rPr>
          <w:rFonts w:hint="eastAsia"/>
          <w:color w:val="auto"/>
        </w:rPr>
        <w:t>室内装修材料</w:t>
      </w:r>
    </w:p>
    <w:tbl>
      <w:tblPr>
        <w:tblStyle w:val="1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363"/>
        <w:gridCol w:w="1609"/>
        <w:gridCol w:w="1554"/>
        <w:gridCol w:w="1813"/>
        <w:gridCol w:w="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166" w:type="pct"/>
            <w:noWrap w:val="0"/>
            <w:vAlign w:val="top"/>
          </w:tcPr>
          <w:p>
            <w:pPr>
              <w:pStyle w:val="17"/>
              <w:bidi w:val="0"/>
              <w:rPr>
                <w:rFonts w:hint="eastAsia"/>
                <w:color w:val="auto"/>
              </w:rPr>
            </w:pPr>
            <w:r>
              <w:rPr>
                <w:rFonts w:hint="eastAsia"/>
                <w:color w:val="auto"/>
              </w:rPr>
              <w:t>房间名称</w:t>
            </w:r>
          </w:p>
        </w:tc>
        <w:tc>
          <w:tcPr>
            <w:tcW w:w="747" w:type="pct"/>
            <w:noWrap w:val="0"/>
            <w:vAlign w:val="center"/>
          </w:tcPr>
          <w:p>
            <w:pPr>
              <w:pStyle w:val="17"/>
              <w:bidi w:val="0"/>
              <w:rPr>
                <w:rFonts w:hint="eastAsia"/>
                <w:color w:val="auto"/>
              </w:rPr>
            </w:pPr>
            <w:r>
              <w:rPr>
                <w:rFonts w:hint="eastAsia"/>
                <w:color w:val="auto"/>
              </w:rPr>
              <w:t>地(楼)面</w:t>
            </w:r>
          </w:p>
        </w:tc>
        <w:tc>
          <w:tcPr>
            <w:tcW w:w="882" w:type="pct"/>
            <w:noWrap w:val="0"/>
            <w:vAlign w:val="center"/>
          </w:tcPr>
          <w:p>
            <w:pPr>
              <w:pStyle w:val="17"/>
              <w:bidi w:val="0"/>
              <w:rPr>
                <w:rFonts w:hint="eastAsia"/>
                <w:color w:val="auto"/>
              </w:rPr>
            </w:pPr>
            <w:r>
              <w:rPr>
                <w:rFonts w:hint="eastAsia"/>
                <w:color w:val="auto"/>
              </w:rPr>
              <w:t>内墙面</w:t>
            </w:r>
          </w:p>
        </w:tc>
        <w:tc>
          <w:tcPr>
            <w:tcW w:w="852" w:type="pct"/>
            <w:noWrap w:val="0"/>
            <w:vAlign w:val="center"/>
          </w:tcPr>
          <w:p>
            <w:pPr>
              <w:pStyle w:val="17"/>
              <w:bidi w:val="0"/>
              <w:rPr>
                <w:rFonts w:hint="eastAsia"/>
                <w:color w:val="auto"/>
                <w:lang w:val="en-US" w:eastAsia="zh-CN"/>
              </w:rPr>
            </w:pPr>
            <w:r>
              <w:rPr>
                <w:rFonts w:hint="eastAsia"/>
                <w:color w:val="auto"/>
                <w:lang w:val="en-US" w:eastAsia="zh-CN"/>
              </w:rPr>
              <w:t>墙裙/踢脚</w:t>
            </w:r>
          </w:p>
        </w:tc>
        <w:tc>
          <w:tcPr>
            <w:tcW w:w="994" w:type="pct"/>
            <w:noWrap w:val="0"/>
            <w:vAlign w:val="center"/>
          </w:tcPr>
          <w:p>
            <w:pPr>
              <w:pStyle w:val="17"/>
              <w:bidi w:val="0"/>
              <w:rPr>
                <w:rFonts w:hint="eastAsia"/>
                <w:color w:val="auto"/>
              </w:rPr>
            </w:pPr>
            <w:r>
              <w:rPr>
                <w:rFonts w:hint="eastAsia"/>
                <w:color w:val="auto"/>
              </w:rPr>
              <w:t>顶棚</w:t>
            </w:r>
          </w:p>
        </w:tc>
        <w:tc>
          <w:tcPr>
            <w:tcW w:w="357" w:type="pct"/>
            <w:noWrap w:val="0"/>
            <w:vAlign w:val="center"/>
          </w:tcPr>
          <w:p>
            <w:pPr>
              <w:pStyle w:val="17"/>
              <w:bidi w:val="0"/>
              <w:rPr>
                <w:rFonts w:hint="eastAsia"/>
                <w:color w:val="auto"/>
              </w:rPr>
            </w:pPr>
            <w:r>
              <w:rPr>
                <w:rFonts w:hint="eastAsia"/>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166" w:type="pct"/>
            <w:noWrap w:val="0"/>
            <w:vAlign w:val="center"/>
          </w:tcPr>
          <w:p>
            <w:pPr>
              <w:pStyle w:val="17"/>
              <w:bidi w:val="0"/>
              <w:rPr>
                <w:rFonts w:hint="default"/>
                <w:color w:val="auto"/>
                <w:lang w:val="en-US" w:eastAsia="zh-CN"/>
              </w:rPr>
            </w:pPr>
            <w:r>
              <w:rPr>
                <w:rFonts w:hint="eastAsia"/>
                <w:color w:val="auto"/>
                <w:lang w:val="en-US" w:eastAsia="zh-CN"/>
              </w:rPr>
              <w:t>生产车间</w:t>
            </w:r>
          </w:p>
        </w:tc>
        <w:tc>
          <w:tcPr>
            <w:tcW w:w="747" w:type="pct"/>
            <w:noWrap w:val="0"/>
            <w:vAlign w:val="center"/>
          </w:tcPr>
          <w:p>
            <w:pPr>
              <w:pStyle w:val="17"/>
              <w:bidi w:val="0"/>
              <w:rPr>
                <w:rFonts w:hint="eastAsia"/>
                <w:color w:val="auto"/>
                <w:lang w:val="en-US" w:eastAsia="zh-CN"/>
              </w:rPr>
            </w:pPr>
            <w:r>
              <w:rPr>
                <w:rFonts w:hint="eastAsia"/>
                <w:color w:val="auto"/>
                <w:lang w:val="en-US" w:eastAsia="zh-CN"/>
              </w:rPr>
              <w:t>细石砼</w:t>
            </w:r>
          </w:p>
        </w:tc>
        <w:tc>
          <w:tcPr>
            <w:tcW w:w="882" w:type="pct"/>
            <w:noWrap w:val="0"/>
            <w:vAlign w:val="center"/>
          </w:tcPr>
          <w:p>
            <w:pPr>
              <w:pStyle w:val="17"/>
              <w:bidi w:val="0"/>
              <w:rPr>
                <w:rFonts w:hint="eastAsia"/>
                <w:color w:val="auto"/>
              </w:rPr>
            </w:pPr>
            <w:r>
              <w:rPr>
                <w:rFonts w:hint="eastAsia"/>
                <w:color w:val="auto"/>
              </w:rPr>
              <w:t>无机涂料</w:t>
            </w:r>
          </w:p>
        </w:tc>
        <w:tc>
          <w:tcPr>
            <w:tcW w:w="852" w:type="pct"/>
            <w:noWrap w:val="0"/>
            <w:vAlign w:val="center"/>
          </w:tcPr>
          <w:p>
            <w:pPr>
              <w:pStyle w:val="17"/>
              <w:bidi w:val="0"/>
              <w:rPr>
                <w:rFonts w:hint="eastAsia"/>
                <w:color w:val="auto"/>
                <w:lang w:val="en-US" w:eastAsia="zh-CN"/>
              </w:rPr>
            </w:pPr>
            <w:r>
              <w:rPr>
                <w:rFonts w:hint="eastAsia"/>
                <w:color w:val="auto"/>
                <w:lang w:val="en-US" w:eastAsia="zh-CN"/>
              </w:rPr>
              <w:t>-</w:t>
            </w:r>
          </w:p>
        </w:tc>
        <w:tc>
          <w:tcPr>
            <w:tcW w:w="994" w:type="pct"/>
            <w:noWrap w:val="0"/>
            <w:vAlign w:val="center"/>
          </w:tcPr>
          <w:p>
            <w:pPr>
              <w:pStyle w:val="17"/>
              <w:bidi w:val="0"/>
              <w:rPr>
                <w:rFonts w:hint="eastAsia"/>
                <w:color w:val="auto"/>
                <w:lang w:val="en-US"/>
              </w:rPr>
            </w:pPr>
            <w:r>
              <w:rPr>
                <w:rFonts w:hint="eastAsia"/>
                <w:color w:val="auto"/>
                <w:lang w:val="en-US" w:eastAsia="zh-CN"/>
              </w:rPr>
              <w:t>石粉类涂料</w:t>
            </w:r>
          </w:p>
        </w:tc>
        <w:tc>
          <w:tcPr>
            <w:tcW w:w="357" w:type="pct"/>
            <w:noWrap w:val="0"/>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1166" w:type="pct"/>
            <w:noWrap w:val="0"/>
            <w:vAlign w:val="center"/>
          </w:tcPr>
          <w:p>
            <w:pPr>
              <w:pStyle w:val="17"/>
              <w:bidi w:val="0"/>
              <w:rPr>
                <w:rFonts w:hint="eastAsia"/>
                <w:color w:val="auto"/>
                <w:lang w:val="en-US" w:eastAsia="zh-CN"/>
              </w:rPr>
            </w:pPr>
            <w:r>
              <w:rPr>
                <w:rFonts w:hint="eastAsia"/>
                <w:color w:val="auto"/>
                <w:lang w:val="en-US" w:eastAsia="zh-CN"/>
              </w:rPr>
              <w:t>大厅、办公用房</w:t>
            </w:r>
          </w:p>
        </w:tc>
        <w:tc>
          <w:tcPr>
            <w:tcW w:w="747" w:type="pct"/>
            <w:noWrap w:val="0"/>
            <w:vAlign w:val="center"/>
          </w:tcPr>
          <w:p>
            <w:pPr>
              <w:pStyle w:val="17"/>
              <w:bidi w:val="0"/>
              <w:rPr>
                <w:rFonts w:hint="eastAsia"/>
                <w:color w:val="auto"/>
                <w:lang w:val="en-US" w:eastAsia="zh-CN"/>
              </w:rPr>
            </w:pPr>
            <w:r>
              <w:rPr>
                <w:rFonts w:hint="eastAsia"/>
                <w:color w:val="auto"/>
                <w:lang w:val="en-US" w:eastAsia="zh-CN"/>
              </w:rPr>
              <w:t>陶瓷地砖</w:t>
            </w:r>
          </w:p>
        </w:tc>
        <w:tc>
          <w:tcPr>
            <w:tcW w:w="882" w:type="pct"/>
            <w:noWrap w:val="0"/>
            <w:vAlign w:val="center"/>
          </w:tcPr>
          <w:p>
            <w:pPr>
              <w:pStyle w:val="17"/>
              <w:bidi w:val="0"/>
              <w:rPr>
                <w:rFonts w:hint="eastAsia"/>
                <w:color w:val="auto"/>
                <w:lang w:val="en-US" w:eastAsia="zh-CN"/>
              </w:rPr>
            </w:pPr>
            <w:r>
              <w:rPr>
                <w:rFonts w:hint="eastAsia"/>
                <w:color w:val="auto"/>
                <w:lang w:val="en-US" w:eastAsia="zh-CN"/>
              </w:rPr>
              <w:t>石粉类涂料</w:t>
            </w:r>
          </w:p>
        </w:tc>
        <w:tc>
          <w:tcPr>
            <w:tcW w:w="852" w:type="pct"/>
            <w:noWrap w:val="0"/>
            <w:vAlign w:val="center"/>
          </w:tcPr>
          <w:p>
            <w:pPr>
              <w:pStyle w:val="17"/>
              <w:bidi w:val="0"/>
              <w:rPr>
                <w:rFonts w:hint="eastAsia"/>
                <w:color w:val="auto"/>
                <w:lang w:val="en-US" w:eastAsia="zh-CN"/>
              </w:rPr>
            </w:pPr>
            <w:r>
              <w:rPr>
                <w:rFonts w:hint="eastAsia"/>
                <w:color w:val="auto"/>
                <w:lang w:val="en-US" w:eastAsia="zh-CN"/>
              </w:rPr>
              <w:t>面砖150mm</w:t>
            </w:r>
          </w:p>
        </w:tc>
        <w:tc>
          <w:tcPr>
            <w:tcW w:w="994" w:type="pct"/>
            <w:noWrap w:val="0"/>
            <w:vAlign w:val="center"/>
          </w:tcPr>
          <w:p>
            <w:pPr>
              <w:pStyle w:val="17"/>
              <w:bidi w:val="0"/>
              <w:rPr>
                <w:rFonts w:hint="eastAsia"/>
                <w:color w:val="auto"/>
                <w:lang w:val="en-US" w:eastAsia="zh-CN"/>
              </w:rPr>
            </w:pPr>
            <w:r>
              <w:rPr>
                <w:rFonts w:hint="eastAsia"/>
                <w:color w:val="auto"/>
                <w:lang w:val="en-US" w:eastAsia="zh-CN"/>
              </w:rPr>
              <w:t>石粉类涂料</w:t>
            </w:r>
          </w:p>
        </w:tc>
        <w:tc>
          <w:tcPr>
            <w:tcW w:w="357" w:type="pct"/>
            <w:noWrap w:val="0"/>
            <w:vAlign w:val="center"/>
          </w:tcPr>
          <w:p>
            <w:pPr>
              <w:pStyle w:val="17"/>
              <w:bidi w:val="0"/>
              <w:rPr>
                <w:rFonts w:hint="eastAsia"/>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1166" w:type="pct"/>
            <w:noWrap w:val="0"/>
            <w:vAlign w:val="center"/>
          </w:tcPr>
          <w:p>
            <w:pPr>
              <w:pStyle w:val="17"/>
              <w:bidi w:val="0"/>
              <w:rPr>
                <w:rFonts w:hint="eastAsia"/>
                <w:color w:val="auto"/>
                <w:lang w:val="en-US" w:eastAsia="zh-CN"/>
              </w:rPr>
            </w:pPr>
            <w:r>
              <w:rPr>
                <w:rFonts w:hint="eastAsia"/>
                <w:color w:val="auto"/>
                <w:lang w:val="en-US" w:eastAsia="zh-CN"/>
              </w:rPr>
              <w:t>卫生间</w:t>
            </w:r>
          </w:p>
        </w:tc>
        <w:tc>
          <w:tcPr>
            <w:tcW w:w="747" w:type="pct"/>
            <w:noWrap w:val="0"/>
            <w:vAlign w:val="center"/>
          </w:tcPr>
          <w:p>
            <w:pPr>
              <w:pStyle w:val="17"/>
              <w:bidi w:val="0"/>
              <w:rPr>
                <w:rFonts w:hint="eastAsia"/>
                <w:color w:val="auto"/>
                <w:lang w:val="en-US" w:eastAsia="zh-CN"/>
              </w:rPr>
            </w:pPr>
            <w:r>
              <w:rPr>
                <w:rFonts w:hint="eastAsia"/>
                <w:color w:val="auto"/>
                <w:lang w:val="en-US" w:eastAsia="zh-CN"/>
              </w:rPr>
              <w:t>防滑陶瓷地砖</w:t>
            </w:r>
          </w:p>
        </w:tc>
        <w:tc>
          <w:tcPr>
            <w:tcW w:w="882" w:type="pct"/>
            <w:noWrap w:val="0"/>
            <w:vAlign w:val="center"/>
          </w:tcPr>
          <w:p>
            <w:pPr>
              <w:pStyle w:val="17"/>
              <w:bidi w:val="0"/>
              <w:rPr>
                <w:rFonts w:hint="eastAsia"/>
                <w:color w:val="auto"/>
                <w:lang w:val="en-US" w:eastAsia="zh-CN"/>
              </w:rPr>
            </w:pPr>
            <w:r>
              <w:rPr>
                <w:rFonts w:hint="eastAsia"/>
                <w:color w:val="auto"/>
                <w:lang w:val="en-US" w:eastAsia="zh-CN"/>
              </w:rPr>
              <w:t>釉面砖</w:t>
            </w:r>
          </w:p>
        </w:tc>
        <w:tc>
          <w:tcPr>
            <w:tcW w:w="852" w:type="pct"/>
            <w:noWrap w:val="0"/>
            <w:vAlign w:val="center"/>
          </w:tcPr>
          <w:p>
            <w:pPr>
              <w:pStyle w:val="17"/>
              <w:bidi w:val="0"/>
              <w:rPr>
                <w:rFonts w:hint="eastAsia"/>
                <w:color w:val="auto"/>
                <w:lang w:val="en-US" w:eastAsia="zh-CN"/>
              </w:rPr>
            </w:pPr>
            <w:r>
              <w:rPr>
                <w:rFonts w:hint="eastAsia"/>
                <w:color w:val="auto"/>
                <w:lang w:val="en-US" w:eastAsia="zh-CN"/>
              </w:rPr>
              <w:t>-</w:t>
            </w:r>
          </w:p>
        </w:tc>
        <w:tc>
          <w:tcPr>
            <w:tcW w:w="994" w:type="pct"/>
            <w:noWrap w:val="0"/>
            <w:vAlign w:val="center"/>
          </w:tcPr>
          <w:p>
            <w:pPr>
              <w:pStyle w:val="17"/>
              <w:bidi w:val="0"/>
              <w:rPr>
                <w:rFonts w:hint="eastAsia"/>
                <w:color w:val="auto"/>
                <w:lang w:val="en-US" w:eastAsia="zh-CN"/>
              </w:rPr>
            </w:pPr>
            <w:r>
              <w:rPr>
                <w:rFonts w:hint="eastAsia"/>
                <w:color w:val="auto"/>
                <w:lang w:val="en-US" w:eastAsia="zh-CN"/>
              </w:rPr>
              <w:t>轻钢龙骨装饰板</w:t>
            </w:r>
          </w:p>
        </w:tc>
        <w:tc>
          <w:tcPr>
            <w:tcW w:w="357" w:type="pct"/>
            <w:noWrap w:val="0"/>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1166" w:type="pct"/>
            <w:noWrap w:val="0"/>
            <w:vAlign w:val="center"/>
          </w:tcPr>
          <w:p>
            <w:pPr>
              <w:pStyle w:val="17"/>
              <w:bidi w:val="0"/>
              <w:rPr>
                <w:rFonts w:hint="eastAsia"/>
                <w:color w:val="auto"/>
                <w:lang w:val="en-US" w:eastAsia="zh-CN"/>
              </w:rPr>
            </w:pPr>
            <w:r>
              <w:rPr>
                <w:rFonts w:hint="eastAsia"/>
                <w:color w:val="auto"/>
                <w:lang w:val="en-US" w:eastAsia="zh-CN"/>
              </w:rPr>
              <w:t>楼梯间</w:t>
            </w:r>
          </w:p>
        </w:tc>
        <w:tc>
          <w:tcPr>
            <w:tcW w:w="747" w:type="pct"/>
            <w:noWrap w:val="0"/>
            <w:vAlign w:val="center"/>
          </w:tcPr>
          <w:p>
            <w:pPr>
              <w:pStyle w:val="17"/>
              <w:bidi w:val="0"/>
              <w:rPr>
                <w:rFonts w:hint="eastAsia"/>
                <w:color w:val="auto"/>
                <w:lang w:val="en-US" w:eastAsia="zh-CN"/>
              </w:rPr>
            </w:pPr>
            <w:r>
              <w:rPr>
                <w:rFonts w:hint="eastAsia"/>
                <w:color w:val="auto"/>
                <w:lang w:val="en-US" w:eastAsia="zh-CN"/>
              </w:rPr>
              <w:t>陶瓷地砖</w:t>
            </w:r>
          </w:p>
        </w:tc>
        <w:tc>
          <w:tcPr>
            <w:tcW w:w="882" w:type="pct"/>
            <w:noWrap w:val="0"/>
            <w:vAlign w:val="center"/>
          </w:tcPr>
          <w:p>
            <w:pPr>
              <w:pStyle w:val="17"/>
              <w:bidi w:val="0"/>
              <w:rPr>
                <w:rFonts w:hint="eastAsia"/>
                <w:color w:val="auto"/>
                <w:lang w:val="en-US" w:eastAsia="zh-CN"/>
              </w:rPr>
            </w:pPr>
            <w:r>
              <w:rPr>
                <w:rFonts w:hint="eastAsia"/>
                <w:color w:val="auto"/>
                <w:lang w:val="en-US" w:eastAsia="zh-CN"/>
              </w:rPr>
              <w:t>石粉类涂料</w:t>
            </w:r>
          </w:p>
        </w:tc>
        <w:tc>
          <w:tcPr>
            <w:tcW w:w="852" w:type="pct"/>
            <w:noWrap w:val="0"/>
            <w:vAlign w:val="center"/>
          </w:tcPr>
          <w:p>
            <w:pPr>
              <w:pStyle w:val="17"/>
              <w:bidi w:val="0"/>
              <w:rPr>
                <w:rFonts w:hint="eastAsia"/>
                <w:color w:val="auto"/>
                <w:lang w:val="en-US" w:eastAsia="zh-CN"/>
              </w:rPr>
            </w:pPr>
            <w:r>
              <w:rPr>
                <w:rFonts w:hint="eastAsia"/>
                <w:color w:val="auto"/>
                <w:lang w:val="en-US" w:eastAsia="zh-CN"/>
              </w:rPr>
              <w:t>面砖1500mm</w:t>
            </w:r>
          </w:p>
        </w:tc>
        <w:tc>
          <w:tcPr>
            <w:tcW w:w="994" w:type="pct"/>
            <w:noWrap w:val="0"/>
            <w:vAlign w:val="center"/>
          </w:tcPr>
          <w:p>
            <w:pPr>
              <w:pStyle w:val="17"/>
              <w:bidi w:val="0"/>
              <w:rPr>
                <w:rFonts w:hint="eastAsia"/>
                <w:color w:val="auto"/>
                <w:lang w:val="en-US" w:eastAsia="zh-CN"/>
              </w:rPr>
            </w:pPr>
            <w:r>
              <w:rPr>
                <w:rFonts w:hint="eastAsia"/>
                <w:color w:val="auto"/>
                <w:lang w:val="en-US" w:eastAsia="zh-CN"/>
              </w:rPr>
              <w:t>石粉类涂料</w:t>
            </w:r>
          </w:p>
        </w:tc>
        <w:tc>
          <w:tcPr>
            <w:tcW w:w="357" w:type="pct"/>
            <w:noWrap w:val="0"/>
            <w:vAlign w:val="center"/>
          </w:tcPr>
          <w:p>
            <w:pPr>
              <w:pStyle w:val="17"/>
              <w:bidi w:val="0"/>
              <w:rPr>
                <w:rFonts w:hint="eastAsia"/>
                <w:color w:val="auto"/>
              </w:rPr>
            </w:pPr>
          </w:p>
        </w:tc>
      </w:tr>
    </w:tbl>
    <w:p>
      <w:pPr>
        <w:pStyle w:val="3"/>
        <w:bidi w:val="0"/>
        <w:rPr>
          <w:rFonts w:hint="eastAsia"/>
          <w:color w:val="auto"/>
          <w:lang w:val="en-US" w:eastAsia="zh-CN"/>
        </w:rPr>
      </w:pPr>
      <w:r>
        <w:rPr>
          <w:rFonts w:hint="eastAsia"/>
          <w:color w:val="auto"/>
          <w:lang w:val="en-US" w:eastAsia="zh-CN"/>
        </w:rPr>
        <w:t>建筑内交通组织</w:t>
      </w:r>
    </w:p>
    <w:p>
      <w:pPr>
        <w:pStyle w:val="4"/>
        <w:bidi w:val="0"/>
        <w:rPr>
          <w:rFonts w:hint="eastAsia"/>
          <w:color w:val="auto"/>
          <w:lang w:val="en-US" w:eastAsia="zh-CN"/>
        </w:rPr>
      </w:pPr>
      <w:r>
        <w:rPr>
          <w:rFonts w:hint="eastAsia"/>
          <w:color w:val="auto"/>
          <w:lang w:val="en-US" w:eastAsia="zh-CN"/>
        </w:rPr>
        <w:t>入口分布及流线组织</w:t>
      </w:r>
    </w:p>
    <w:p>
      <w:pPr>
        <w:bidi w:val="0"/>
        <w:rPr>
          <w:rFonts w:hint="eastAsia"/>
          <w:color w:val="auto"/>
          <w:lang w:val="en-US" w:eastAsia="zh-CN"/>
        </w:rPr>
      </w:pPr>
      <w:r>
        <w:rPr>
          <w:rFonts w:hint="eastAsia"/>
          <w:color w:val="auto"/>
          <w:lang w:val="en-US" w:eastAsia="zh-CN"/>
        </w:rPr>
        <w:t>本工程各栋厂房建筑内部流线主要包括员工流线和货物流线，两类流线分别设置出入口，做到流线互不交叉，同时保证各类流线的简洁流畅。员工使用楼梯作为竖向交通通道，货物竖向运输主要为建筑货梯，每栋建筑一层厂房生产区域设置直通室外的货运出入口，方便使用。</w:t>
      </w:r>
    </w:p>
    <w:p>
      <w:pPr>
        <w:pStyle w:val="4"/>
        <w:bidi w:val="0"/>
        <w:rPr>
          <w:rFonts w:hint="eastAsia"/>
          <w:color w:val="auto"/>
          <w:lang w:val="en-US" w:eastAsia="zh-CN"/>
        </w:rPr>
      </w:pPr>
      <w:r>
        <w:rPr>
          <w:rFonts w:hint="eastAsia"/>
          <w:color w:val="auto"/>
          <w:lang w:val="en-US" w:eastAsia="zh-CN"/>
        </w:rPr>
        <w:t>竖向交通设施</w:t>
      </w:r>
    </w:p>
    <w:p>
      <w:pPr>
        <w:bidi w:val="0"/>
        <w:rPr>
          <w:rFonts w:hint="eastAsia"/>
          <w:color w:val="auto"/>
          <w:lang w:val="en-US" w:eastAsia="zh-CN"/>
        </w:rPr>
      </w:pPr>
      <w:r>
        <w:rPr>
          <w:rFonts w:hint="eastAsia"/>
          <w:color w:val="auto"/>
          <w:lang w:val="en-US" w:eastAsia="zh-CN"/>
        </w:rPr>
        <w:t>1、楼梯</w:t>
      </w:r>
    </w:p>
    <w:p>
      <w:pPr>
        <w:bidi w:val="0"/>
        <w:rPr>
          <w:rFonts w:hint="eastAsia"/>
          <w:color w:val="auto"/>
          <w:lang w:val="en-US" w:eastAsia="zh-CN"/>
        </w:rPr>
      </w:pPr>
      <w:r>
        <w:rPr>
          <w:rFonts w:hint="eastAsia"/>
          <w:color w:val="auto"/>
          <w:lang w:val="en-US" w:eastAsia="zh-CN"/>
        </w:rPr>
        <w:t>本项目厂房建筑为多层厂房，建筑内楼梯均为封闭楼梯间，楼梯间首层直通室外；每栋厂房建筑设置2部封闭楼梯间，建筑内部楼梯均分散设置，疏散宽度按厂房内100人疏散净宽1.0计算，楼梯及楼梯间门宽度满足规范要求。</w:t>
      </w:r>
    </w:p>
    <w:p>
      <w:pPr>
        <w:bidi w:val="0"/>
        <w:rPr>
          <w:rFonts w:hint="eastAsia"/>
          <w:color w:val="auto"/>
          <w:lang w:val="en-US" w:eastAsia="zh-CN"/>
        </w:rPr>
      </w:pPr>
      <w:r>
        <w:rPr>
          <w:rFonts w:hint="eastAsia"/>
          <w:color w:val="auto"/>
          <w:lang w:val="en-US" w:eastAsia="zh-CN"/>
        </w:rPr>
        <w:t>2、电梯配置</w:t>
      </w:r>
    </w:p>
    <w:p>
      <w:pPr>
        <w:bidi w:val="0"/>
        <w:rPr>
          <w:rFonts w:hint="eastAsia"/>
          <w:color w:val="auto"/>
          <w:lang w:val="en-US" w:eastAsia="zh-CN"/>
        </w:rPr>
      </w:pPr>
      <w:r>
        <w:rPr>
          <w:rFonts w:hint="eastAsia"/>
          <w:color w:val="auto"/>
          <w:lang w:val="en-US" w:eastAsia="zh-CN"/>
        </w:rPr>
        <w:t>每栋厂房配备2部货运电梯及2部客梯，货梯载重量为3.0吨，客梯载重量为1.35吨，满足厂房生产需要。</w:t>
      </w:r>
    </w:p>
    <w:p>
      <w:pPr>
        <w:pStyle w:val="2"/>
        <w:bidi w:val="0"/>
        <w:rPr>
          <w:rFonts w:hint="eastAsia"/>
          <w:color w:val="auto"/>
          <w:lang w:val="en-US" w:eastAsia="zh-CN"/>
        </w:rPr>
      </w:pPr>
      <w:r>
        <w:rPr>
          <w:rFonts w:hint="eastAsia"/>
          <w:color w:val="auto"/>
          <w:lang w:val="en-US" w:eastAsia="zh-CN"/>
        </w:rPr>
        <w:br w:type="column"/>
      </w:r>
      <w:r>
        <w:rPr>
          <w:rFonts w:hint="eastAsia"/>
          <w:color w:val="auto"/>
          <w:lang w:val="en-US" w:eastAsia="zh-CN"/>
        </w:rPr>
        <w:t>结构</w:t>
      </w:r>
      <w:r>
        <w:rPr>
          <w:color w:val="auto"/>
          <w:lang w:val="en-US" w:eastAsia="zh-CN"/>
        </w:rPr>
        <w:t>设计</w:t>
      </w:r>
      <w:r>
        <w:rPr>
          <w:rFonts w:hint="eastAsia"/>
          <w:color w:val="auto"/>
          <w:lang w:val="en-US" w:eastAsia="zh-CN"/>
        </w:rPr>
        <w:t>说明</w:t>
      </w:r>
    </w:p>
    <w:p>
      <w:pPr>
        <w:pStyle w:val="3"/>
        <w:bidi w:val="0"/>
        <w:rPr>
          <w:rFonts w:hint="eastAsia"/>
          <w:color w:val="auto"/>
          <w:lang w:val="zh-CN" w:eastAsia="zh-CN"/>
        </w:rPr>
      </w:pPr>
      <w:r>
        <w:rPr>
          <w:rFonts w:hint="eastAsia"/>
          <w:color w:val="auto"/>
          <w:lang w:val="zh-CN" w:eastAsia="zh-CN"/>
        </w:rPr>
        <w:t>工程概况</w:t>
      </w:r>
    </w:p>
    <w:p>
      <w:pPr>
        <w:bidi w:val="0"/>
        <w:rPr>
          <w:rFonts w:hint="eastAsia"/>
          <w:color w:val="auto"/>
          <w:spacing w:val="-20"/>
          <w:sz w:val="30"/>
        </w:rPr>
      </w:pPr>
      <w:r>
        <w:rPr>
          <w:rFonts w:hint="eastAsia"/>
          <w:color w:val="auto"/>
          <w:spacing w:val="-20"/>
          <w:sz w:val="30"/>
        </w:rPr>
        <w:t>本工程位于汨罗市新市镇新阳社区，清云路与天立路交汇处东南侧地块。</w:t>
      </w:r>
    </w:p>
    <w:p>
      <w:pPr>
        <w:bidi w:val="0"/>
        <w:rPr>
          <w:rFonts w:hint="eastAsia"/>
          <w:color w:val="auto"/>
        </w:rPr>
      </w:pPr>
      <w:r>
        <w:rPr>
          <w:rFonts w:hint="eastAsia"/>
          <w:color w:val="auto"/>
          <w:lang w:val="zh-CN"/>
        </w:rPr>
        <w:t>1#</w:t>
      </w:r>
      <w:r>
        <w:rPr>
          <w:rFonts w:hint="eastAsia"/>
          <w:color w:val="auto"/>
          <w:lang w:val="en-US" w:eastAsia="zh-CN"/>
        </w:rPr>
        <w:t>办公楼</w:t>
      </w:r>
      <w:r>
        <w:rPr>
          <w:rFonts w:hint="eastAsia"/>
          <w:color w:val="auto"/>
        </w:rPr>
        <w:t>：</w:t>
      </w:r>
      <w:r>
        <w:rPr>
          <w:rFonts w:hint="eastAsia"/>
          <w:color w:val="auto"/>
          <w:lang w:val="en-US" w:eastAsia="zh-CN"/>
        </w:rPr>
        <w:t>2</w:t>
      </w:r>
      <w:r>
        <w:rPr>
          <w:rFonts w:hint="eastAsia"/>
          <w:color w:val="auto"/>
          <w:lang w:val="zh-CN"/>
        </w:rPr>
        <w:t>层</w:t>
      </w:r>
      <w:r>
        <w:rPr>
          <w:rFonts w:hint="eastAsia"/>
          <w:color w:val="auto"/>
        </w:rPr>
        <w:t>框架结构，建筑总高度</w:t>
      </w:r>
      <w:r>
        <w:rPr>
          <w:rFonts w:hint="eastAsia"/>
          <w:color w:val="auto"/>
          <w:lang w:val="en-US" w:eastAsia="zh-CN"/>
        </w:rPr>
        <w:t>9.00</w:t>
      </w:r>
      <w:r>
        <w:rPr>
          <w:rFonts w:hint="eastAsia"/>
          <w:color w:val="auto"/>
        </w:rPr>
        <w:t>m。地上</w:t>
      </w:r>
      <w:r>
        <w:rPr>
          <w:rFonts w:hint="eastAsia"/>
          <w:color w:val="auto"/>
          <w:lang w:val="en-US" w:eastAsia="zh-CN"/>
        </w:rPr>
        <w:t>2</w:t>
      </w:r>
      <w:r>
        <w:rPr>
          <w:rFonts w:hint="eastAsia"/>
          <w:color w:val="auto"/>
        </w:rPr>
        <w:t>层，地下0层,其中一层高</w:t>
      </w:r>
      <w:r>
        <w:rPr>
          <w:rFonts w:hint="eastAsia"/>
          <w:color w:val="auto"/>
          <w:lang w:val="en-US" w:eastAsia="zh-CN"/>
        </w:rPr>
        <w:t>5.4</w:t>
      </w:r>
      <w:r>
        <w:rPr>
          <w:rFonts w:hint="eastAsia"/>
          <w:color w:val="auto"/>
        </w:rPr>
        <w:t>米，二层层高</w:t>
      </w:r>
      <w:r>
        <w:rPr>
          <w:rFonts w:hint="eastAsia"/>
          <w:color w:val="auto"/>
          <w:lang w:val="en-US" w:eastAsia="zh-CN"/>
        </w:rPr>
        <w:t>3</w:t>
      </w:r>
      <w:r>
        <w:rPr>
          <w:rFonts w:hint="eastAsia"/>
          <w:color w:val="auto"/>
        </w:rPr>
        <w:t>.</w:t>
      </w:r>
      <w:r>
        <w:rPr>
          <w:rFonts w:hint="eastAsia"/>
          <w:color w:val="auto"/>
          <w:lang w:val="en-US" w:eastAsia="zh-CN"/>
        </w:rPr>
        <w:t>6</w:t>
      </w:r>
      <w:r>
        <w:rPr>
          <w:rFonts w:hint="eastAsia"/>
          <w:color w:val="auto"/>
        </w:rPr>
        <w:t>米，主要功能为</w:t>
      </w:r>
      <w:r>
        <w:rPr>
          <w:rFonts w:hint="eastAsia"/>
          <w:color w:val="auto"/>
          <w:lang w:val="en-US" w:eastAsia="zh-CN"/>
        </w:rPr>
        <w:t>办公楼</w:t>
      </w:r>
      <w:r>
        <w:rPr>
          <w:rFonts w:hint="eastAsia"/>
          <w:color w:val="auto"/>
        </w:rPr>
        <w:t>。主要结构跨度</w:t>
      </w:r>
      <w:r>
        <w:rPr>
          <w:rFonts w:hint="eastAsia"/>
          <w:color w:val="auto"/>
          <w:lang w:val="en-US" w:eastAsia="zh-CN"/>
        </w:rPr>
        <w:t>8</w:t>
      </w:r>
      <w:r>
        <w:rPr>
          <w:rFonts w:hint="eastAsia"/>
          <w:color w:val="auto"/>
        </w:rPr>
        <w:t>.50mx</w:t>
      </w:r>
      <w:r>
        <w:rPr>
          <w:rFonts w:hint="eastAsia"/>
          <w:color w:val="auto"/>
          <w:lang w:val="en-US" w:eastAsia="zh-CN"/>
        </w:rPr>
        <w:t>10</w:t>
      </w:r>
      <w:r>
        <w:rPr>
          <w:rFonts w:hint="eastAsia"/>
          <w:color w:val="auto"/>
        </w:rPr>
        <w:t>.</w:t>
      </w:r>
      <w:r>
        <w:rPr>
          <w:rFonts w:hint="eastAsia"/>
          <w:color w:val="auto"/>
          <w:lang w:val="en-US" w:eastAsia="zh-CN"/>
        </w:rPr>
        <w:t>0</w:t>
      </w:r>
      <w:r>
        <w:rPr>
          <w:rFonts w:hint="eastAsia"/>
          <w:color w:val="auto"/>
        </w:rPr>
        <w:t>0m。</w:t>
      </w:r>
    </w:p>
    <w:p>
      <w:pPr>
        <w:bidi w:val="0"/>
        <w:rPr>
          <w:rFonts w:hint="eastAsia"/>
          <w:color w:val="auto"/>
        </w:rPr>
      </w:pPr>
      <w:r>
        <w:rPr>
          <w:rFonts w:hint="eastAsia"/>
          <w:color w:val="auto"/>
          <w:lang w:val="en-US" w:eastAsia="zh-CN"/>
        </w:rPr>
        <w:t>2#宿舍楼</w:t>
      </w:r>
      <w:r>
        <w:rPr>
          <w:rFonts w:hint="eastAsia"/>
          <w:color w:val="auto"/>
        </w:rPr>
        <w:t>：框架结构，建筑总高度</w:t>
      </w:r>
      <w:r>
        <w:rPr>
          <w:rFonts w:hint="eastAsia"/>
          <w:color w:val="auto"/>
          <w:lang w:val="en-US" w:eastAsia="zh-CN"/>
        </w:rPr>
        <w:t>12.2</w:t>
      </w:r>
      <w:r>
        <w:rPr>
          <w:rFonts w:hint="eastAsia"/>
          <w:color w:val="auto"/>
        </w:rPr>
        <w:t>m。地上</w:t>
      </w:r>
      <w:r>
        <w:rPr>
          <w:rFonts w:hint="eastAsia"/>
          <w:color w:val="auto"/>
          <w:lang w:val="en-US" w:eastAsia="zh-CN"/>
        </w:rPr>
        <w:t>3</w:t>
      </w:r>
      <w:r>
        <w:rPr>
          <w:rFonts w:hint="eastAsia"/>
          <w:color w:val="auto"/>
        </w:rPr>
        <w:t>层，其中一层高</w:t>
      </w:r>
      <w:r>
        <w:rPr>
          <w:rFonts w:hint="eastAsia"/>
          <w:color w:val="auto"/>
          <w:lang w:val="en-US" w:eastAsia="zh-CN"/>
        </w:rPr>
        <w:t>5.4</w:t>
      </w:r>
      <w:r>
        <w:rPr>
          <w:rFonts w:hint="eastAsia"/>
          <w:color w:val="auto"/>
        </w:rPr>
        <w:t>米，二</w:t>
      </w:r>
      <w:r>
        <w:rPr>
          <w:rFonts w:hint="eastAsia"/>
          <w:color w:val="auto"/>
          <w:lang w:val="en-US" w:eastAsia="zh-CN"/>
        </w:rPr>
        <w:t>~三</w:t>
      </w:r>
      <w:r>
        <w:rPr>
          <w:rFonts w:hint="eastAsia"/>
          <w:color w:val="auto"/>
        </w:rPr>
        <w:t>层层高</w:t>
      </w:r>
      <w:r>
        <w:rPr>
          <w:rFonts w:hint="eastAsia"/>
          <w:color w:val="auto"/>
          <w:lang w:val="en-US" w:eastAsia="zh-CN"/>
        </w:rPr>
        <w:t>3</w:t>
      </w:r>
      <w:r>
        <w:rPr>
          <w:rFonts w:hint="eastAsia"/>
          <w:color w:val="auto"/>
        </w:rPr>
        <w:t>.</w:t>
      </w:r>
      <w:r>
        <w:rPr>
          <w:rFonts w:hint="eastAsia"/>
          <w:color w:val="auto"/>
          <w:lang w:val="en-US" w:eastAsia="zh-CN"/>
        </w:rPr>
        <w:t>4</w:t>
      </w:r>
      <w:r>
        <w:rPr>
          <w:rFonts w:hint="eastAsia"/>
          <w:color w:val="auto"/>
        </w:rPr>
        <w:t>米。主要结构跨度</w:t>
      </w:r>
      <w:r>
        <w:rPr>
          <w:rFonts w:hint="eastAsia"/>
          <w:color w:val="auto"/>
          <w:lang w:val="en-US" w:eastAsia="zh-CN"/>
        </w:rPr>
        <w:t>8</w:t>
      </w:r>
      <w:r>
        <w:rPr>
          <w:rFonts w:hint="eastAsia"/>
          <w:color w:val="auto"/>
        </w:rPr>
        <w:t>.</w:t>
      </w:r>
      <w:r>
        <w:rPr>
          <w:rFonts w:hint="eastAsia"/>
          <w:color w:val="auto"/>
          <w:lang w:val="en-US" w:eastAsia="zh-CN"/>
        </w:rPr>
        <w:t>5</w:t>
      </w:r>
      <w:r>
        <w:rPr>
          <w:rFonts w:hint="eastAsia"/>
          <w:color w:val="auto"/>
        </w:rPr>
        <w:t>0mx</w:t>
      </w:r>
      <w:r>
        <w:rPr>
          <w:rFonts w:hint="eastAsia"/>
          <w:color w:val="auto"/>
          <w:lang w:val="en-US" w:eastAsia="zh-CN"/>
        </w:rPr>
        <w:t>8.0</w:t>
      </w:r>
      <w:r>
        <w:rPr>
          <w:rFonts w:hint="eastAsia"/>
          <w:color w:val="auto"/>
        </w:rPr>
        <w:t>m。</w:t>
      </w:r>
    </w:p>
    <w:p>
      <w:pPr>
        <w:bidi w:val="0"/>
        <w:rPr>
          <w:rFonts w:hint="eastAsia"/>
          <w:color w:val="auto"/>
        </w:rPr>
      </w:pPr>
      <w:r>
        <w:rPr>
          <w:rFonts w:hint="eastAsia"/>
          <w:color w:val="auto"/>
          <w:lang w:val="en-US" w:eastAsia="zh-CN"/>
        </w:rPr>
        <w:t>3#厂房</w:t>
      </w:r>
      <w:r>
        <w:rPr>
          <w:rFonts w:hint="eastAsia"/>
          <w:color w:val="auto"/>
        </w:rPr>
        <w:t>：框架结构，建筑总高度</w:t>
      </w:r>
      <w:r>
        <w:rPr>
          <w:rFonts w:hint="eastAsia"/>
          <w:color w:val="auto"/>
          <w:lang w:val="en-US" w:eastAsia="zh-CN"/>
        </w:rPr>
        <w:t>15.75</w:t>
      </w:r>
      <w:r>
        <w:rPr>
          <w:rFonts w:hint="eastAsia"/>
          <w:color w:val="auto"/>
        </w:rPr>
        <w:t>m。地上</w:t>
      </w:r>
      <w:r>
        <w:rPr>
          <w:rFonts w:hint="eastAsia"/>
          <w:color w:val="auto"/>
          <w:lang w:val="en-US" w:eastAsia="zh-CN"/>
        </w:rPr>
        <w:t>2</w:t>
      </w:r>
      <w:r>
        <w:rPr>
          <w:rFonts w:hint="eastAsia"/>
          <w:color w:val="auto"/>
        </w:rPr>
        <w:t>层，其中一层高</w:t>
      </w:r>
      <w:r>
        <w:rPr>
          <w:rFonts w:hint="eastAsia"/>
          <w:color w:val="auto"/>
          <w:lang w:val="en-US" w:eastAsia="zh-CN"/>
        </w:rPr>
        <w:t>7.8</w:t>
      </w:r>
      <w:r>
        <w:rPr>
          <w:rFonts w:hint="eastAsia"/>
          <w:color w:val="auto"/>
        </w:rPr>
        <w:t>米，二层高</w:t>
      </w:r>
      <w:r>
        <w:rPr>
          <w:rFonts w:hint="eastAsia"/>
          <w:color w:val="auto"/>
          <w:lang w:val="en-US" w:eastAsia="zh-CN"/>
        </w:rPr>
        <w:t>7.8</w:t>
      </w:r>
      <w:r>
        <w:rPr>
          <w:rFonts w:hint="eastAsia"/>
          <w:color w:val="auto"/>
        </w:rPr>
        <w:t>米。主要结构跨度</w:t>
      </w:r>
      <w:r>
        <w:rPr>
          <w:rFonts w:hint="eastAsia"/>
          <w:color w:val="auto"/>
          <w:lang w:val="en-US" w:eastAsia="zh-CN"/>
        </w:rPr>
        <w:t>10.</w:t>
      </w:r>
      <w:r>
        <w:rPr>
          <w:rFonts w:hint="eastAsia"/>
          <w:color w:val="auto"/>
        </w:rPr>
        <w:t>0mx</w:t>
      </w:r>
      <w:r>
        <w:rPr>
          <w:rFonts w:hint="eastAsia"/>
          <w:color w:val="auto"/>
          <w:lang w:val="en-US" w:eastAsia="zh-CN"/>
        </w:rPr>
        <w:t>9.0</w:t>
      </w:r>
      <w:r>
        <w:rPr>
          <w:rFonts w:hint="eastAsia"/>
          <w:color w:val="auto"/>
        </w:rPr>
        <w:t>m。</w:t>
      </w:r>
    </w:p>
    <w:p>
      <w:pPr>
        <w:bidi w:val="0"/>
        <w:rPr>
          <w:rFonts w:hint="eastAsia"/>
          <w:color w:val="auto"/>
          <w:lang w:eastAsia="zh-CN"/>
        </w:rPr>
      </w:pPr>
      <w:r>
        <w:rPr>
          <w:rFonts w:hint="eastAsia"/>
          <w:color w:val="auto"/>
          <w:lang w:val="en-US" w:eastAsia="zh-CN"/>
        </w:rPr>
        <w:t>4-6#厂房</w:t>
      </w:r>
      <w:r>
        <w:rPr>
          <w:rFonts w:hint="eastAsia"/>
          <w:color w:val="auto"/>
        </w:rPr>
        <w:t>：框架结构，建筑总高度</w:t>
      </w:r>
      <w:r>
        <w:rPr>
          <w:rFonts w:hint="eastAsia"/>
          <w:color w:val="auto"/>
          <w:lang w:val="en-US" w:eastAsia="zh-CN"/>
        </w:rPr>
        <w:t>23.55</w:t>
      </w:r>
      <w:r>
        <w:rPr>
          <w:rFonts w:hint="eastAsia"/>
          <w:color w:val="auto"/>
        </w:rPr>
        <w:t>m。地上</w:t>
      </w:r>
      <w:r>
        <w:rPr>
          <w:rFonts w:hint="eastAsia"/>
          <w:color w:val="auto"/>
          <w:lang w:val="en-US" w:eastAsia="zh-CN"/>
        </w:rPr>
        <w:t>3</w:t>
      </w:r>
      <w:r>
        <w:rPr>
          <w:rFonts w:hint="eastAsia"/>
          <w:color w:val="auto"/>
        </w:rPr>
        <w:t>层，其中一层高</w:t>
      </w:r>
      <w:r>
        <w:rPr>
          <w:rFonts w:hint="eastAsia"/>
          <w:color w:val="auto"/>
          <w:lang w:val="en-US" w:eastAsia="zh-CN"/>
        </w:rPr>
        <w:t>7.8</w:t>
      </w:r>
      <w:r>
        <w:rPr>
          <w:rFonts w:hint="eastAsia"/>
          <w:color w:val="auto"/>
        </w:rPr>
        <w:t>米，二</w:t>
      </w:r>
      <w:r>
        <w:rPr>
          <w:rFonts w:hint="eastAsia"/>
          <w:color w:val="auto"/>
          <w:lang w:val="en-US" w:eastAsia="zh-CN"/>
        </w:rPr>
        <w:t>~三</w:t>
      </w:r>
      <w:r>
        <w:rPr>
          <w:rFonts w:hint="eastAsia"/>
          <w:color w:val="auto"/>
        </w:rPr>
        <w:t>层高</w:t>
      </w:r>
      <w:r>
        <w:rPr>
          <w:rFonts w:hint="eastAsia"/>
          <w:color w:val="auto"/>
          <w:lang w:val="en-US" w:eastAsia="zh-CN"/>
        </w:rPr>
        <w:t>7.8</w:t>
      </w:r>
      <w:r>
        <w:rPr>
          <w:rFonts w:hint="eastAsia"/>
          <w:color w:val="auto"/>
        </w:rPr>
        <w:t>米。主要结构跨度</w:t>
      </w:r>
      <w:r>
        <w:rPr>
          <w:rFonts w:hint="eastAsia"/>
          <w:color w:val="auto"/>
          <w:lang w:val="en-US" w:eastAsia="zh-CN"/>
        </w:rPr>
        <w:t>10.</w:t>
      </w:r>
      <w:r>
        <w:rPr>
          <w:rFonts w:hint="eastAsia"/>
          <w:color w:val="auto"/>
        </w:rPr>
        <w:t>0mx</w:t>
      </w:r>
      <w:r>
        <w:rPr>
          <w:rFonts w:hint="eastAsia"/>
          <w:color w:val="auto"/>
          <w:lang w:val="en-US" w:eastAsia="zh-CN"/>
        </w:rPr>
        <w:t>9.0</w:t>
      </w:r>
      <w:r>
        <w:rPr>
          <w:rFonts w:hint="eastAsia"/>
          <w:color w:val="auto"/>
        </w:rPr>
        <w:t>m。</w:t>
      </w:r>
    </w:p>
    <w:p>
      <w:pPr>
        <w:bidi w:val="0"/>
        <w:rPr>
          <w:rFonts w:hint="eastAsia"/>
          <w:color w:val="auto"/>
        </w:rPr>
      </w:pPr>
      <w:r>
        <w:rPr>
          <w:rFonts w:hint="eastAsia"/>
          <w:color w:val="auto"/>
          <w:lang w:eastAsia="zh-CN"/>
        </w:rPr>
        <w:t>设备用房</w:t>
      </w:r>
      <w:r>
        <w:rPr>
          <w:rFonts w:hint="eastAsia"/>
          <w:color w:val="auto"/>
        </w:rPr>
        <w:t>：框架结构，建筑总高度</w:t>
      </w:r>
      <w:r>
        <w:rPr>
          <w:rFonts w:hint="eastAsia"/>
          <w:color w:val="auto"/>
          <w:lang w:val="en-US" w:eastAsia="zh-CN"/>
        </w:rPr>
        <w:t>4.2</w:t>
      </w:r>
      <w:r>
        <w:rPr>
          <w:rFonts w:hint="eastAsia"/>
          <w:color w:val="auto"/>
        </w:rPr>
        <w:t>m。地上</w:t>
      </w:r>
      <w:r>
        <w:rPr>
          <w:rFonts w:hint="eastAsia"/>
          <w:color w:val="auto"/>
          <w:lang w:val="en-US" w:eastAsia="zh-CN"/>
        </w:rPr>
        <w:t>1</w:t>
      </w:r>
      <w:r>
        <w:rPr>
          <w:rFonts w:hint="eastAsia"/>
          <w:color w:val="auto"/>
        </w:rPr>
        <w:t>层，层高为</w:t>
      </w:r>
      <w:r>
        <w:rPr>
          <w:rFonts w:hint="eastAsia"/>
          <w:color w:val="auto"/>
          <w:lang w:val="en-US" w:eastAsia="zh-CN"/>
        </w:rPr>
        <w:t>4.2</w:t>
      </w:r>
      <w:r>
        <w:rPr>
          <w:rFonts w:hint="eastAsia"/>
          <w:color w:val="auto"/>
        </w:rPr>
        <w:t>米。主要结构跨度</w:t>
      </w:r>
      <w:r>
        <w:rPr>
          <w:rFonts w:hint="eastAsia"/>
          <w:color w:val="auto"/>
          <w:lang w:val="en-US" w:eastAsia="zh-CN"/>
        </w:rPr>
        <w:t>5</w:t>
      </w:r>
      <w:r>
        <w:rPr>
          <w:rFonts w:hint="eastAsia"/>
          <w:color w:val="auto"/>
        </w:rPr>
        <w:t>.</w:t>
      </w:r>
      <w:r>
        <w:rPr>
          <w:rFonts w:hint="eastAsia"/>
          <w:color w:val="auto"/>
          <w:lang w:val="en-US" w:eastAsia="zh-CN"/>
        </w:rPr>
        <w:t>4</w:t>
      </w:r>
      <w:r>
        <w:rPr>
          <w:rFonts w:hint="eastAsia"/>
          <w:color w:val="auto"/>
        </w:rPr>
        <w:t>0mx</w:t>
      </w:r>
      <w:r>
        <w:rPr>
          <w:rFonts w:hint="eastAsia"/>
          <w:color w:val="auto"/>
          <w:lang w:val="en-US" w:eastAsia="zh-CN"/>
        </w:rPr>
        <w:t>8.</w:t>
      </w:r>
      <w:r>
        <w:rPr>
          <w:rFonts w:hint="eastAsia"/>
          <w:color w:val="auto"/>
        </w:rPr>
        <w:t>0m。</w:t>
      </w:r>
    </w:p>
    <w:p>
      <w:pPr>
        <w:pStyle w:val="3"/>
        <w:bidi w:val="0"/>
        <w:rPr>
          <w:rFonts w:hint="eastAsia"/>
          <w:color w:val="auto"/>
          <w:lang w:val="zh-CN" w:eastAsia="zh-CN"/>
        </w:rPr>
      </w:pPr>
      <w:bookmarkStart w:id="2" w:name="_Toc8405"/>
      <w:bookmarkStart w:id="3" w:name="_Toc30445"/>
      <w:r>
        <w:rPr>
          <w:rFonts w:hint="eastAsia"/>
          <w:color w:val="auto"/>
          <w:lang w:val="zh-CN" w:eastAsia="zh-CN"/>
        </w:rPr>
        <w:t>设计依据</w:t>
      </w:r>
      <w:bookmarkEnd w:id="2"/>
      <w:bookmarkEnd w:id="3"/>
    </w:p>
    <w:p>
      <w:pPr>
        <w:bidi w:val="0"/>
        <w:rPr>
          <w:rFonts w:hint="eastAsia"/>
          <w:color w:val="auto"/>
        </w:rPr>
      </w:pPr>
      <w:r>
        <w:rPr>
          <w:rFonts w:hint="eastAsia"/>
          <w:color w:val="auto"/>
        </w:rPr>
        <w:t>1、本工程主体结构设计使用年限为50年。</w:t>
      </w:r>
    </w:p>
    <w:p>
      <w:pPr>
        <w:bidi w:val="0"/>
        <w:rPr>
          <w:rFonts w:hint="eastAsia"/>
          <w:color w:val="auto"/>
        </w:rPr>
      </w:pPr>
      <w:r>
        <w:rPr>
          <w:rFonts w:hint="eastAsia"/>
          <w:color w:val="auto"/>
        </w:rPr>
        <w:t>2、建筑及设备等专业提供的资料。</w:t>
      </w:r>
    </w:p>
    <w:p>
      <w:pPr>
        <w:pStyle w:val="3"/>
        <w:bidi w:val="0"/>
        <w:rPr>
          <w:rFonts w:hint="eastAsia"/>
          <w:color w:val="auto"/>
          <w:lang w:val="zh-CN" w:eastAsia="zh-CN"/>
        </w:rPr>
      </w:pPr>
      <w:bookmarkStart w:id="4" w:name="_Toc10218"/>
      <w:bookmarkStart w:id="5" w:name="_Toc3143"/>
      <w:r>
        <w:rPr>
          <w:rFonts w:hint="eastAsia"/>
          <w:color w:val="auto"/>
          <w:lang w:val="zh-CN" w:eastAsia="zh-CN"/>
        </w:rPr>
        <w:t>自然条件</w:t>
      </w:r>
      <w:bookmarkEnd w:id="4"/>
      <w:bookmarkEnd w:id="5"/>
    </w:p>
    <w:p>
      <w:pPr>
        <w:bidi w:val="0"/>
        <w:rPr>
          <w:rFonts w:hint="eastAsia"/>
          <w:color w:val="auto"/>
        </w:rPr>
      </w:pPr>
      <w:r>
        <w:rPr>
          <w:rFonts w:hint="eastAsia"/>
          <w:color w:val="auto"/>
        </w:rPr>
        <w:t>(1)基本风压：0.</w:t>
      </w:r>
      <w:r>
        <w:rPr>
          <w:rFonts w:hint="eastAsia"/>
          <w:color w:val="auto"/>
          <w:lang w:val="en-US" w:eastAsia="zh-CN"/>
        </w:rPr>
        <w:t>4</w:t>
      </w:r>
      <w:r>
        <w:rPr>
          <w:rFonts w:hint="eastAsia"/>
          <w:color w:val="auto"/>
        </w:rPr>
        <w:t>kN/㎡（n=50）；</w:t>
      </w:r>
    </w:p>
    <w:p>
      <w:pPr>
        <w:bidi w:val="0"/>
        <w:rPr>
          <w:rFonts w:hint="eastAsia"/>
          <w:color w:val="auto"/>
        </w:rPr>
      </w:pPr>
      <w:r>
        <w:rPr>
          <w:rFonts w:hint="eastAsia"/>
          <w:color w:val="auto"/>
        </w:rPr>
        <w:t>(2)基本雪压：0.</w:t>
      </w:r>
      <w:r>
        <w:rPr>
          <w:rFonts w:hint="eastAsia"/>
          <w:color w:val="auto"/>
          <w:lang w:val="en-US" w:eastAsia="zh-CN"/>
        </w:rPr>
        <w:t>55</w:t>
      </w:r>
      <w:r>
        <w:rPr>
          <w:rFonts w:hint="eastAsia"/>
          <w:color w:val="auto"/>
        </w:rPr>
        <w:t>kN/㎡；</w:t>
      </w:r>
    </w:p>
    <w:p>
      <w:pPr>
        <w:bidi w:val="0"/>
        <w:rPr>
          <w:rFonts w:hint="eastAsia"/>
          <w:color w:val="auto"/>
        </w:rPr>
      </w:pPr>
      <w:r>
        <w:rPr>
          <w:rFonts w:hint="eastAsia"/>
          <w:color w:val="auto"/>
        </w:rPr>
        <w:t>(3)抗震设防烈度为6度，设计基本地震加速度为0.05g，设计地震分组为第一组，场地特征周期Tg=0.35s。</w:t>
      </w:r>
    </w:p>
    <w:p>
      <w:pPr>
        <w:pStyle w:val="3"/>
        <w:bidi w:val="0"/>
        <w:rPr>
          <w:rFonts w:hint="eastAsia"/>
          <w:color w:val="auto"/>
          <w:lang w:val="zh-CN" w:eastAsia="zh-CN"/>
        </w:rPr>
      </w:pPr>
      <w:bookmarkStart w:id="6" w:name="_Toc20864"/>
      <w:bookmarkStart w:id="7" w:name="_Toc10869"/>
      <w:r>
        <w:rPr>
          <w:rFonts w:hint="eastAsia"/>
          <w:color w:val="auto"/>
          <w:lang w:val="zh-CN" w:eastAsia="zh-CN"/>
        </w:rPr>
        <w:t>本工程结构设计所采用的主要标准及规范</w:t>
      </w:r>
      <w:bookmarkEnd w:id="6"/>
      <w:bookmarkEnd w:id="7"/>
    </w:p>
    <w:p>
      <w:pPr>
        <w:bidi w:val="0"/>
        <w:rPr>
          <w:rFonts w:hint="eastAsia"/>
          <w:color w:val="auto"/>
        </w:rPr>
      </w:pPr>
      <w:r>
        <w:rPr>
          <w:rFonts w:hint="eastAsia"/>
          <w:color w:val="auto"/>
        </w:rPr>
        <w:t>(1)《建筑结构可靠性设计统一标准》（GB50068-2018）</w:t>
      </w:r>
    </w:p>
    <w:p>
      <w:pPr>
        <w:bidi w:val="0"/>
        <w:rPr>
          <w:rFonts w:hint="eastAsia"/>
          <w:color w:val="auto"/>
        </w:rPr>
      </w:pPr>
      <w:r>
        <w:rPr>
          <w:rFonts w:hint="eastAsia"/>
          <w:color w:val="auto"/>
        </w:rPr>
        <w:t>(2)《混凝土结构耐久性设计标准》（GB/T50476-2019）</w:t>
      </w:r>
    </w:p>
    <w:p>
      <w:pPr>
        <w:bidi w:val="0"/>
        <w:rPr>
          <w:rFonts w:hint="eastAsia"/>
          <w:color w:val="auto"/>
        </w:rPr>
      </w:pPr>
      <w:r>
        <w:rPr>
          <w:rFonts w:hint="eastAsia"/>
          <w:color w:val="auto"/>
        </w:rPr>
        <w:t>(3)《工程结构通用规范》（GB55001-2021）</w:t>
      </w:r>
    </w:p>
    <w:p>
      <w:pPr>
        <w:bidi w:val="0"/>
        <w:rPr>
          <w:rFonts w:hint="eastAsia"/>
          <w:color w:val="auto"/>
        </w:rPr>
      </w:pPr>
      <w:r>
        <w:rPr>
          <w:rFonts w:hint="eastAsia"/>
          <w:color w:val="auto"/>
        </w:rPr>
        <w:t>(4)《建筑与市政工程抗震通用规范》（GB55002-2021）</w:t>
      </w:r>
    </w:p>
    <w:p>
      <w:pPr>
        <w:bidi w:val="0"/>
        <w:rPr>
          <w:rFonts w:hint="eastAsia"/>
          <w:color w:val="auto"/>
        </w:rPr>
      </w:pPr>
      <w:r>
        <w:rPr>
          <w:rFonts w:hint="eastAsia"/>
          <w:color w:val="auto"/>
        </w:rPr>
        <w:t>(5)《建筑与市政地基基础通用规范》（GB55003-2021）</w:t>
      </w:r>
    </w:p>
    <w:p>
      <w:pPr>
        <w:bidi w:val="0"/>
        <w:rPr>
          <w:rFonts w:hint="eastAsia"/>
          <w:color w:val="auto"/>
        </w:rPr>
      </w:pPr>
      <w:r>
        <w:rPr>
          <w:rFonts w:hint="eastAsia"/>
          <w:color w:val="auto"/>
        </w:rPr>
        <w:t>(6)《砌体结构通用规范》（GB55007-2021）</w:t>
      </w:r>
    </w:p>
    <w:p>
      <w:pPr>
        <w:bidi w:val="0"/>
        <w:rPr>
          <w:rFonts w:hint="eastAsia"/>
          <w:color w:val="auto"/>
        </w:rPr>
      </w:pPr>
      <w:r>
        <w:rPr>
          <w:rFonts w:hint="eastAsia"/>
          <w:color w:val="auto"/>
        </w:rPr>
        <w:t>(7)《混凝土结构通用规范》（GB55008-2021）</w:t>
      </w:r>
    </w:p>
    <w:p>
      <w:pPr>
        <w:bidi w:val="0"/>
        <w:rPr>
          <w:rFonts w:hint="eastAsia"/>
          <w:color w:val="auto"/>
        </w:rPr>
      </w:pPr>
      <w:r>
        <w:rPr>
          <w:rFonts w:hint="eastAsia"/>
          <w:color w:val="auto"/>
        </w:rPr>
        <w:t>(8)《建筑结构荷载规范》（GB50009-2012）</w:t>
      </w:r>
    </w:p>
    <w:p>
      <w:pPr>
        <w:bidi w:val="0"/>
        <w:rPr>
          <w:rFonts w:hint="eastAsia"/>
          <w:color w:val="auto"/>
        </w:rPr>
      </w:pPr>
      <w:r>
        <w:rPr>
          <w:rFonts w:hint="eastAsia"/>
          <w:color w:val="auto"/>
        </w:rPr>
        <w:t>(9)《砌体结构设计规范》（GB50003-2011）</w:t>
      </w:r>
    </w:p>
    <w:p>
      <w:pPr>
        <w:bidi w:val="0"/>
        <w:rPr>
          <w:rFonts w:hint="eastAsia"/>
          <w:color w:val="auto"/>
        </w:rPr>
      </w:pPr>
      <w:r>
        <w:rPr>
          <w:rFonts w:hint="eastAsia"/>
          <w:color w:val="auto"/>
        </w:rPr>
        <w:t>(10)《混凝土结构设计规范》（GB50010-2010）（2015年版）</w:t>
      </w:r>
    </w:p>
    <w:p>
      <w:pPr>
        <w:bidi w:val="0"/>
        <w:rPr>
          <w:rFonts w:hint="eastAsia"/>
          <w:color w:val="auto"/>
        </w:rPr>
      </w:pPr>
      <w:r>
        <w:rPr>
          <w:rFonts w:hint="eastAsia"/>
          <w:color w:val="auto"/>
        </w:rPr>
        <w:t>(11)《高层建筑混凝土结构技术规程》（JGJ3-2010）</w:t>
      </w:r>
    </w:p>
    <w:p>
      <w:pPr>
        <w:bidi w:val="0"/>
        <w:rPr>
          <w:rFonts w:hint="eastAsia"/>
          <w:color w:val="auto"/>
        </w:rPr>
      </w:pPr>
      <w:r>
        <w:rPr>
          <w:rFonts w:hint="eastAsia"/>
          <w:color w:val="auto"/>
        </w:rPr>
        <w:t>(12)《建筑抗震设计规范》（GB50011-2010）（2016年版）</w:t>
      </w:r>
    </w:p>
    <w:p>
      <w:pPr>
        <w:bidi w:val="0"/>
        <w:rPr>
          <w:rFonts w:hint="eastAsia"/>
          <w:color w:val="auto"/>
        </w:rPr>
      </w:pPr>
      <w:r>
        <w:rPr>
          <w:rFonts w:hint="eastAsia"/>
          <w:color w:val="auto"/>
        </w:rPr>
        <w:t>(13)《建筑工程抗震设防分类标准》（GB50223-2008）</w:t>
      </w:r>
    </w:p>
    <w:p>
      <w:pPr>
        <w:bidi w:val="0"/>
        <w:rPr>
          <w:rFonts w:hint="eastAsia"/>
          <w:color w:val="auto"/>
        </w:rPr>
      </w:pPr>
      <w:r>
        <w:rPr>
          <w:rFonts w:hint="eastAsia"/>
          <w:color w:val="auto"/>
        </w:rPr>
        <w:t>(14)《建筑地基基础设计规范》（GB50007-2011）</w:t>
      </w:r>
    </w:p>
    <w:p>
      <w:pPr>
        <w:bidi w:val="0"/>
        <w:rPr>
          <w:rFonts w:hint="eastAsia"/>
          <w:color w:val="auto"/>
        </w:rPr>
      </w:pPr>
      <w:r>
        <w:rPr>
          <w:rFonts w:hint="eastAsia"/>
          <w:color w:val="auto"/>
        </w:rPr>
        <w:t>(15)《建筑桩基技术规范》（JGJ94-2008）</w:t>
      </w:r>
    </w:p>
    <w:p>
      <w:pPr>
        <w:bidi w:val="0"/>
        <w:rPr>
          <w:rFonts w:hint="eastAsia"/>
          <w:color w:val="auto"/>
        </w:rPr>
      </w:pPr>
      <w:r>
        <w:rPr>
          <w:rFonts w:hint="eastAsia"/>
          <w:color w:val="auto"/>
        </w:rPr>
        <w:t>(16)《地下工程防水技术规范》（GB50108-2008）</w:t>
      </w:r>
    </w:p>
    <w:p>
      <w:pPr>
        <w:bidi w:val="0"/>
        <w:rPr>
          <w:rFonts w:hint="eastAsia"/>
          <w:color w:val="auto"/>
        </w:rPr>
      </w:pPr>
      <w:r>
        <w:rPr>
          <w:rFonts w:hint="eastAsia"/>
          <w:color w:val="auto"/>
        </w:rPr>
        <w:t>(17)《建筑工程抗浮技术标准》（JGJ476-2019）</w:t>
      </w:r>
    </w:p>
    <w:p>
      <w:pPr>
        <w:bidi w:val="0"/>
        <w:rPr>
          <w:rFonts w:hint="eastAsia"/>
          <w:color w:val="auto"/>
        </w:rPr>
      </w:pPr>
      <w:r>
        <w:rPr>
          <w:rFonts w:hint="eastAsia"/>
          <w:color w:val="auto"/>
        </w:rPr>
        <w:t>(18)《全国民用建筑工程设计技术措施》(结构)(2009年版)</w:t>
      </w:r>
    </w:p>
    <w:p>
      <w:pPr>
        <w:bidi w:val="0"/>
        <w:rPr>
          <w:rFonts w:hint="eastAsia"/>
          <w:color w:val="auto"/>
        </w:rPr>
      </w:pPr>
      <w:r>
        <w:rPr>
          <w:rFonts w:hint="eastAsia"/>
          <w:color w:val="auto"/>
        </w:rPr>
        <w:t>(19)《建筑工程设计文件编制深度的规定》(建设部2016年)；</w:t>
      </w:r>
    </w:p>
    <w:p>
      <w:pPr>
        <w:bidi w:val="0"/>
        <w:rPr>
          <w:rFonts w:hint="eastAsia"/>
          <w:color w:val="auto"/>
        </w:rPr>
      </w:pPr>
      <w:r>
        <w:rPr>
          <w:rFonts w:hint="eastAsia"/>
          <w:color w:val="auto"/>
        </w:rPr>
        <w:t>(20)《工程建设标准强制性条文（房屋建筑部分）》(2013年版)</w:t>
      </w:r>
    </w:p>
    <w:p>
      <w:pPr>
        <w:bidi w:val="0"/>
        <w:rPr>
          <w:rFonts w:hint="eastAsia"/>
          <w:color w:val="auto"/>
        </w:rPr>
      </w:pPr>
      <w:r>
        <w:rPr>
          <w:rFonts w:hint="eastAsia"/>
          <w:color w:val="auto"/>
        </w:rPr>
        <w:t>(21)《建筑防火设计规范》（GB50016-2014）(2018年版)</w:t>
      </w:r>
    </w:p>
    <w:p>
      <w:pPr>
        <w:bidi w:val="0"/>
        <w:rPr>
          <w:rFonts w:hint="eastAsia"/>
          <w:color w:val="auto"/>
        </w:rPr>
      </w:pPr>
      <w:r>
        <w:rPr>
          <w:rFonts w:hint="eastAsia"/>
          <w:color w:val="auto"/>
        </w:rPr>
        <w:t>(22)《混凝土结构施工图平面整体表示方法制图规则和构造详图》（16G101-1，2，3）；《中南地区建筑标准设计结构图集》1，2，3。</w:t>
      </w:r>
    </w:p>
    <w:p>
      <w:pPr>
        <w:pStyle w:val="3"/>
        <w:bidi w:val="0"/>
        <w:rPr>
          <w:rFonts w:hint="eastAsia"/>
          <w:color w:val="auto"/>
          <w:lang w:val="zh-CN" w:eastAsia="zh-CN"/>
        </w:rPr>
      </w:pPr>
      <w:bookmarkStart w:id="8" w:name="_Toc20903"/>
      <w:bookmarkStart w:id="9" w:name="_Toc7340"/>
      <w:r>
        <w:rPr>
          <w:rFonts w:hint="eastAsia"/>
          <w:color w:val="auto"/>
          <w:lang w:val="zh-CN" w:eastAsia="zh-CN"/>
        </w:rPr>
        <w:t>建筑分类等级</w:t>
      </w:r>
      <w:bookmarkEnd w:id="8"/>
      <w:bookmarkEnd w:id="9"/>
    </w:p>
    <w:p>
      <w:pPr>
        <w:bidi w:val="0"/>
        <w:rPr>
          <w:rFonts w:hint="eastAsia"/>
          <w:color w:val="auto"/>
        </w:rPr>
      </w:pPr>
      <w:r>
        <w:rPr>
          <w:rFonts w:hint="eastAsia"/>
          <w:color w:val="auto"/>
        </w:rPr>
        <w:t>1、建筑结构安全等级：二级。</w:t>
      </w:r>
    </w:p>
    <w:p>
      <w:pPr>
        <w:bidi w:val="0"/>
        <w:rPr>
          <w:rFonts w:hint="eastAsia"/>
          <w:color w:val="auto"/>
        </w:rPr>
      </w:pPr>
      <w:r>
        <w:rPr>
          <w:rFonts w:hint="eastAsia"/>
          <w:color w:val="auto"/>
        </w:rPr>
        <w:t>2、地基基础设计等级：丙级。</w:t>
      </w:r>
    </w:p>
    <w:p>
      <w:pPr>
        <w:bidi w:val="0"/>
        <w:rPr>
          <w:rFonts w:hint="eastAsia"/>
          <w:color w:val="auto"/>
        </w:rPr>
      </w:pPr>
      <w:r>
        <w:rPr>
          <w:rFonts w:hint="eastAsia"/>
          <w:color w:val="auto"/>
        </w:rPr>
        <w:t>3、建筑抗震设防类别：丙类。</w:t>
      </w:r>
    </w:p>
    <w:p>
      <w:pPr>
        <w:bidi w:val="0"/>
        <w:rPr>
          <w:rFonts w:hint="eastAsia"/>
          <w:color w:val="auto"/>
        </w:rPr>
      </w:pPr>
      <w:r>
        <w:rPr>
          <w:rFonts w:hint="eastAsia"/>
          <w:color w:val="auto"/>
        </w:rPr>
        <w:t>4、抗震等级：四级。</w:t>
      </w:r>
    </w:p>
    <w:p>
      <w:pPr>
        <w:bidi w:val="0"/>
        <w:rPr>
          <w:rFonts w:hint="eastAsia"/>
          <w:color w:val="auto"/>
        </w:rPr>
      </w:pPr>
      <w:r>
        <w:rPr>
          <w:rFonts w:hint="eastAsia"/>
          <w:color w:val="auto"/>
        </w:rPr>
        <w:t>5、防水等级：屋面及地下室防水等级为一级；</w:t>
      </w:r>
    </w:p>
    <w:p>
      <w:pPr>
        <w:bidi w:val="0"/>
        <w:rPr>
          <w:rFonts w:hint="eastAsia"/>
          <w:color w:val="auto"/>
        </w:rPr>
      </w:pPr>
      <w:r>
        <w:rPr>
          <w:rFonts w:hint="eastAsia"/>
          <w:color w:val="auto"/>
        </w:rPr>
        <w:t>6、耐火等级：均为二级。</w:t>
      </w:r>
    </w:p>
    <w:p>
      <w:pPr>
        <w:bidi w:val="0"/>
        <w:rPr>
          <w:rFonts w:hint="eastAsia"/>
          <w:color w:val="auto"/>
        </w:rPr>
      </w:pPr>
      <w:r>
        <w:rPr>
          <w:rFonts w:hint="eastAsia"/>
          <w:color w:val="auto"/>
        </w:rPr>
        <w:t>7、混凝土结构的环境类别：普通室内构件:一类；屋面、各类露天</w:t>
      </w:r>
      <w:r>
        <w:rPr>
          <w:rFonts w:hint="eastAsia"/>
          <w:color w:val="auto"/>
          <w:spacing w:val="-20"/>
          <w:sz w:val="30"/>
        </w:rPr>
        <w:t>构件，卫生间、厨房、水池、水箱：二a类；正负零以下构件：二b类。</w:t>
      </w:r>
    </w:p>
    <w:p>
      <w:pPr>
        <w:pStyle w:val="3"/>
        <w:bidi w:val="0"/>
        <w:rPr>
          <w:rFonts w:hint="eastAsia"/>
          <w:color w:val="auto"/>
          <w:lang w:val="zh-CN" w:eastAsia="zh-CN"/>
        </w:rPr>
      </w:pPr>
      <w:bookmarkStart w:id="10" w:name="_Toc16783"/>
      <w:bookmarkStart w:id="11" w:name="_Toc5647"/>
      <w:r>
        <w:rPr>
          <w:rFonts w:hint="eastAsia"/>
          <w:color w:val="auto"/>
          <w:lang w:val="zh-CN" w:eastAsia="zh-CN"/>
        </w:rPr>
        <w:t>主要荷载（作用）取值（标准值）</w:t>
      </w:r>
      <w:bookmarkEnd w:id="10"/>
      <w:bookmarkEnd w:id="11"/>
    </w:p>
    <w:p>
      <w:pPr>
        <w:bidi w:val="0"/>
        <w:rPr>
          <w:rFonts w:hint="eastAsia"/>
          <w:color w:val="auto"/>
          <w:lang w:val="zh-CN"/>
        </w:rPr>
      </w:pPr>
      <w:r>
        <w:rPr>
          <w:rFonts w:hint="eastAsia"/>
          <w:color w:val="auto"/>
        </w:rPr>
        <w:t>1</w:t>
      </w:r>
      <w:r>
        <w:rPr>
          <w:rFonts w:hint="eastAsia"/>
          <w:color w:val="auto"/>
          <w:lang w:val="zh-CN"/>
        </w:rPr>
        <w:t>、建筑楼面活荷载标准值：KN/m2</w:t>
      </w:r>
    </w:p>
    <w:p>
      <w:pPr>
        <w:bidi w:val="0"/>
        <w:rPr>
          <w:rFonts w:hint="eastAsia"/>
          <w:color w:val="auto"/>
          <w:lang w:val="zh-CN"/>
        </w:rPr>
      </w:pPr>
      <w:r>
        <w:rPr>
          <w:rFonts w:hint="eastAsia"/>
          <w:color w:val="auto"/>
        </w:rPr>
        <w:t>工具房6</w:t>
      </w:r>
      <w:r>
        <w:rPr>
          <w:rFonts w:hint="eastAsia"/>
          <w:color w:val="auto"/>
          <w:lang w:val="zh-CN"/>
        </w:rPr>
        <w:t>.0</w:t>
      </w:r>
    </w:p>
    <w:p>
      <w:pPr>
        <w:bidi w:val="0"/>
        <w:rPr>
          <w:rFonts w:hint="default"/>
          <w:color w:val="auto"/>
          <w:lang w:val="en-US" w:eastAsia="zh-CN"/>
        </w:rPr>
      </w:pPr>
      <w:r>
        <w:rPr>
          <w:rFonts w:hint="eastAsia"/>
          <w:color w:val="auto"/>
          <w:lang w:eastAsia="zh-CN"/>
        </w:rPr>
        <w:t>宿舍</w:t>
      </w:r>
      <w:r>
        <w:rPr>
          <w:rFonts w:hint="eastAsia"/>
          <w:color w:val="auto"/>
          <w:lang w:val="en-US" w:eastAsia="zh-CN"/>
        </w:rPr>
        <w:t>2.0</w:t>
      </w:r>
    </w:p>
    <w:p>
      <w:pPr>
        <w:bidi w:val="0"/>
        <w:rPr>
          <w:rFonts w:hint="eastAsia"/>
          <w:color w:val="auto"/>
        </w:rPr>
      </w:pPr>
      <w:r>
        <w:rPr>
          <w:rFonts w:hint="eastAsia"/>
          <w:color w:val="auto"/>
        </w:rPr>
        <w:t>办公室</w:t>
      </w:r>
      <w:r>
        <w:rPr>
          <w:rFonts w:hint="eastAsia"/>
          <w:color w:val="auto"/>
          <w:lang w:val="zh-CN"/>
        </w:rPr>
        <w:t>2.</w:t>
      </w:r>
      <w:r>
        <w:rPr>
          <w:rFonts w:hint="eastAsia"/>
          <w:color w:val="auto"/>
        </w:rPr>
        <w:t>5</w:t>
      </w:r>
    </w:p>
    <w:p>
      <w:pPr>
        <w:bidi w:val="0"/>
        <w:rPr>
          <w:rFonts w:hint="eastAsia"/>
          <w:color w:val="auto"/>
        </w:rPr>
      </w:pPr>
      <w:r>
        <w:rPr>
          <w:rFonts w:hint="eastAsia"/>
          <w:color w:val="auto"/>
        </w:rPr>
        <w:t>会议室3</w:t>
      </w:r>
      <w:r>
        <w:rPr>
          <w:rFonts w:hint="eastAsia"/>
          <w:color w:val="auto"/>
          <w:lang w:val="zh-CN"/>
        </w:rPr>
        <w:t>.</w:t>
      </w:r>
      <w:r>
        <w:rPr>
          <w:rFonts w:hint="eastAsia"/>
          <w:color w:val="auto"/>
        </w:rPr>
        <w:t>0</w:t>
      </w:r>
    </w:p>
    <w:p>
      <w:pPr>
        <w:bidi w:val="0"/>
        <w:rPr>
          <w:rFonts w:hint="eastAsia"/>
          <w:color w:val="auto"/>
        </w:rPr>
      </w:pPr>
      <w:r>
        <w:rPr>
          <w:rFonts w:hint="eastAsia"/>
          <w:color w:val="auto"/>
        </w:rPr>
        <w:t>档案室6</w:t>
      </w:r>
      <w:r>
        <w:rPr>
          <w:rFonts w:hint="eastAsia"/>
          <w:color w:val="auto"/>
          <w:lang w:val="zh-CN"/>
        </w:rPr>
        <w:t>.</w:t>
      </w:r>
      <w:r>
        <w:rPr>
          <w:rFonts w:hint="eastAsia"/>
          <w:color w:val="auto"/>
        </w:rPr>
        <w:t>0</w:t>
      </w:r>
    </w:p>
    <w:p>
      <w:pPr>
        <w:bidi w:val="0"/>
        <w:rPr>
          <w:rFonts w:hint="eastAsia"/>
          <w:color w:val="auto"/>
          <w:lang w:val="zh-CN"/>
        </w:rPr>
      </w:pPr>
      <w:r>
        <w:rPr>
          <w:rFonts w:hint="eastAsia"/>
          <w:color w:val="auto"/>
          <w:lang w:val="zh-CN"/>
        </w:rPr>
        <w:t>厕所2.5</w:t>
      </w:r>
    </w:p>
    <w:p>
      <w:pPr>
        <w:bidi w:val="0"/>
        <w:rPr>
          <w:rFonts w:hint="eastAsia"/>
          <w:color w:val="auto"/>
        </w:rPr>
      </w:pPr>
      <w:r>
        <w:rPr>
          <w:rFonts w:hint="eastAsia"/>
          <w:color w:val="auto"/>
          <w:lang w:val="zh-CN"/>
        </w:rPr>
        <w:t>走廊门厅</w:t>
      </w:r>
      <w:r>
        <w:rPr>
          <w:rFonts w:hint="eastAsia"/>
          <w:color w:val="auto"/>
        </w:rPr>
        <w:t>3.0</w:t>
      </w:r>
    </w:p>
    <w:p>
      <w:pPr>
        <w:bidi w:val="0"/>
        <w:rPr>
          <w:rFonts w:hint="eastAsia"/>
          <w:color w:val="auto"/>
          <w:lang w:val="zh-CN"/>
        </w:rPr>
      </w:pPr>
      <w:r>
        <w:rPr>
          <w:rFonts w:hint="eastAsia"/>
          <w:color w:val="auto"/>
          <w:lang w:val="zh-CN"/>
        </w:rPr>
        <w:t>楼梯3.5</w:t>
      </w:r>
    </w:p>
    <w:p>
      <w:pPr>
        <w:bidi w:val="0"/>
        <w:rPr>
          <w:rFonts w:hint="eastAsia"/>
          <w:color w:val="auto"/>
          <w:lang w:val="zh-CN"/>
        </w:rPr>
      </w:pPr>
      <w:r>
        <w:rPr>
          <w:rFonts w:hint="eastAsia"/>
          <w:color w:val="auto"/>
          <w:lang w:val="zh-CN"/>
        </w:rPr>
        <w:t>通风机房</w:t>
      </w:r>
      <w:r>
        <w:rPr>
          <w:rFonts w:hint="eastAsia"/>
          <w:color w:val="auto"/>
        </w:rPr>
        <w:t>8</w:t>
      </w:r>
      <w:r>
        <w:rPr>
          <w:rFonts w:hint="eastAsia"/>
          <w:color w:val="auto"/>
          <w:lang w:val="zh-CN"/>
        </w:rPr>
        <w:t>.0</w:t>
      </w:r>
    </w:p>
    <w:p>
      <w:pPr>
        <w:bidi w:val="0"/>
        <w:rPr>
          <w:rFonts w:hint="eastAsia"/>
          <w:color w:val="auto"/>
          <w:lang w:val="zh-CN"/>
        </w:rPr>
      </w:pPr>
      <w:r>
        <w:rPr>
          <w:rFonts w:hint="eastAsia"/>
          <w:color w:val="auto"/>
          <w:lang w:val="zh-CN"/>
        </w:rPr>
        <w:t>不上人屋面0.5</w:t>
      </w:r>
    </w:p>
    <w:p>
      <w:pPr>
        <w:bidi w:val="0"/>
        <w:rPr>
          <w:rFonts w:hint="eastAsia"/>
          <w:color w:val="auto"/>
          <w:lang w:val="zh-CN"/>
        </w:rPr>
      </w:pPr>
      <w:r>
        <w:rPr>
          <w:rFonts w:hint="eastAsia"/>
          <w:color w:val="auto"/>
          <w:lang w:val="zh-CN"/>
        </w:rPr>
        <w:t>上人屋面2.0</w:t>
      </w:r>
    </w:p>
    <w:p>
      <w:pPr>
        <w:bidi w:val="0"/>
        <w:rPr>
          <w:rFonts w:hint="eastAsia"/>
          <w:color w:val="auto"/>
          <w:lang w:val="zh-CN"/>
        </w:rPr>
      </w:pPr>
      <w:r>
        <w:rPr>
          <w:rFonts w:hint="eastAsia"/>
          <w:color w:val="auto"/>
          <w:lang w:val="zh-CN"/>
        </w:rPr>
        <w:t>变配电房、发电机房、水泵房10.0</w:t>
      </w:r>
    </w:p>
    <w:p>
      <w:pPr>
        <w:bidi w:val="0"/>
        <w:rPr>
          <w:rFonts w:hint="eastAsia"/>
          <w:color w:val="auto"/>
        </w:rPr>
      </w:pPr>
      <w:r>
        <w:rPr>
          <w:rFonts w:hint="eastAsia"/>
          <w:color w:val="auto"/>
          <w:lang w:val="zh-CN"/>
        </w:rPr>
        <w:t>各设备荷载</w:t>
      </w:r>
      <w:r>
        <w:rPr>
          <w:rFonts w:hint="eastAsia"/>
          <w:color w:val="auto"/>
        </w:rPr>
        <w:t>30~40</w:t>
      </w:r>
    </w:p>
    <w:p>
      <w:pPr>
        <w:bidi w:val="0"/>
        <w:rPr>
          <w:rFonts w:hint="eastAsia"/>
          <w:color w:val="auto"/>
          <w:lang w:val="zh-CN"/>
        </w:rPr>
      </w:pPr>
      <w:r>
        <w:rPr>
          <w:rFonts w:hint="eastAsia"/>
          <w:color w:val="auto"/>
          <w:lang w:val="zh-CN"/>
        </w:rPr>
        <w:t>其他未列项见国家现行标准，规范，规程。</w:t>
      </w:r>
    </w:p>
    <w:p>
      <w:pPr>
        <w:bidi w:val="0"/>
        <w:rPr>
          <w:rFonts w:hint="eastAsia"/>
          <w:color w:val="auto"/>
          <w:lang w:val="en-US" w:eastAsia="zh-CN"/>
        </w:rPr>
      </w:pPr>
      <w:r>
        <w:rPr>
          <w:rFonts w:hint="eastAsia"/>
          <w:color w:val="auto"/>
          <w:lang w:val="en-US" w:eastAsia="zh-CN"/>
        </w:rPr>
        <w:t>风荷载:</w:t>
      </w:r>
    </w:p>
    <w:p>
      <w:pPr>
        <w:bidi w:val="0"/>
        <w:rPr>
          <w:rFonts w:hint="eastAsia"/>
          <w:color w:val="auto"/>
          <w:lang w:val="en-US" w:eastAsia="zh-CN"/>
        </w:rPr>
      </w:pPr>
      <w:r>
        <w:rPr>
          <w:rFonts w:hint="eastAsia"/>
          <w:color w:val="auto"/>
          <w:lang w:val="en-US" w:eastAsia="zh-CN"/>
        </w:rPr>
        <w:t>基本风压：0.4kN/㎡（n＝50年）；地面粗糙度：B类；</w:t>
      </w:r>
    </w:p>
    <w:p>
      <w:pPr>
        <w:bidi w:val="0"/>
        <w:rPr>
          <w:rFonts w:hint="eastAsia"/>
          <w:color w:val="auto"/>
        </w:rPr>
      </w:pPr>
      <w:r>
        <w:rPr>
          <w:rFonts w:hint="eastAsia"/>
          <w:color w:val="auto"/>
        </w:rPr>
        <w:t>雪荷载:</w:t>
      </w:r>
    </w:p>
    <w:p>
      <w:pPr>
        <w:bidi w:val="0"/>
        <w:rPr>
          <w:rFonts w:hint="eastAsia"/>
          <w:color w:val="auto"/>
        </w:rPr>
      </w:pPr>
      <w:r>
        <w:rPr>
          <w:rFonts w:hint="eastAsia"/>
          <w:color w:val="auto"/>
        </w:rPr>
        <w:t>基本雪压：0.</w:t>
      </w:r>
      <w:r>
        <w:rPr>
          <w:rFonts w:hint="eastAsia"/>
          <w:color w:val="auto"/>
          <w:lang w:val="en-US" w:eastAsia="zh-CN"/>
        </w:rPr>
        <w:t>55</w:t>
      </w:r>
      <w:r>
        <w:rPr>
          <w:rFonts w:hint="eastAsia"/>
          <w:color w:val="auto"/>
        </w:rPr>
        <w:t>kN/㎡（n＝50年）；</w:t>
      </w:r>
    </w:p>
    <w:p>
      <w:pPr>
        <w:bidi w:val="0"/>
        <w:rPr>
          <w:rFonts w:hint="eastAsia"/>
          <w:color w:val="auto"/>
        </w:rPr>
      </w:pPr>
      <w:r>
        <w:rPr>
          <w:rFonts w:hint="eastAsia"/>
          <w:color w:val="auto"/>
        </w:rPr>
        <w:t>5、地震作用：抗震设防烈度为6度，设计基本地震加速度为0.05g，</w:t>
      </w:r>
    </w:p>
    <w:p>
      <w:pPr>
        <w:bidi w:val="0"/>
        <w:rPr>
          <w:rFonts w:hint="eastAsia"/>
          <w:color w:val="auto"/>
        </w:rPr>
      </w:pPr>
      <w:r>
        <w:rPr>
          <w:rFonts w:hint="eastAsia"/>
          <w:color w:val="auto"/>
        </w:rPr>
        <w:t>设计地震分组为第一组。</w:t>
      </w:r>
    </w:p>
    <w:p>
      <w:pPr>
        <w:pStyle w:val="3"/>
        <w:bidi w:val="0"/>
        <w:rPr>
          <w:rFonts w:hint="eastAsia"/>
          <w:color w:val="auto"/>
          <w:lang w:val="zh-CN" w:eastAsia="zh-CN"/>
        </w:rPr>
      </w:pPr>
      <w:bookmarkStart w:id="12" w:name="_Toc16667"/>
      <w:bookmarkStart w:id="13" w:name="_Toc16714"/>
      <w:r>
        <w:rPr>
          <w:rFonts w:hint="eastAsia"/>
          <w:color w:val="auto"/>
          <w:lang w:val="zh-CN" w:eastAsia="zh-CN"/>
        </w:rPr>
        <w:t>上部结构设计</w:t>
      </w:r>
      <w:bookmarkEnd w:id="12"/>
      <w:bookmarkEnd w:id="13"/>
    </w:p>
    <w:p>
      <w:pPr>
        <w:bidi w:val="0"/>
        <w:rPr>
          <w:rFonts w:hint="eastAsia"/>
          <w:color w:val="auto"/>
          <w:lang w:val="zh-CN" w:eastAsia="zh-CN"/>
        </w:rPr>
      </w:pPr>
      <w:r>
        <w:rPr>
          <w:rFonts w:hint="eastAsia"/>
          <w:color w:val="auto"/>
          <w:lang w:val="en-US" w:eastAsia="zh-CN"/>
        </w:rPr>
        <w:t>1、</w:t>
      </w:r>
      <w:r>
        <w:rPr>
          <w:rFonts w:hint="eastAsia"/>
          <w:color w:val="auto"/>
          <w:lang w:val="zh-CN" w:eastAsia="zh-CN"/>
        </w:rPr>
        <w:t>结构缝（伸缩缝、沉降缝、抗震缝）</w:t>
      </w:r>
    </w:p>
    <w:p>
      <w:pPr>
        <w:bidi w:val="0"/>
        <w:rPr>
          <w:rFonts w:hint="eastAsia"/>
          <w:color w:val="auto"/>
          <w:lang w:val="zh-CN"/>
        </w:rPr>
      </w:pPr>
      <w:r>
        <w:rPr>
          <w:rFonts w:hint="eastAsia"/>
          <w:color w:val="auto"/>
          <w:lang w:val="zh-CN" w:eastAsia="zh-CN"/>
        </w:rPr>
        <w:t>各</w:t>
      </w:r>
      <w:r>
        <w:rPr>
          <w:rFonts w:hint="eastAsia"/>
          <w:color w:val="auto"/>
          <w:lang w:val="zh-CN"/>
        </w:rPr>
        <w:t>栋上部结构整体平面规则,满足相关规范要求，不设缝。</w:t>
      </w:r>
    </w:p>
    <w:p>
      <w:pPr>
        <w:bidi w:val="0"/>
        <w:rPr>
          <w:rFonts w:hint="eastAsia"/>
          <w:color w:val="auto"/>
          <w:lang w:val="zh-CN"/>
        </w:rPr>
      </w:pPr>
      <w:r>
        <w:rPr>
          <w:rFonts w:hint="eastAsia"/>
          <w:color w:val="auto"/>
          <w:lang w:val="en-US" w:eastAsia="zh-CN"/>
        </w:rPr>
        <w:t>2、</w:t>
      </w:r>
      <w:r>
        <w:rPr>
          <w:rFonts w:hint="eastAsia"/>
          <w:color w:val="auto"/>
          <w:lang w:val="zh-CN"/>
        </w:rPr>
        <w:t>结构选型</w:t>
      </w:r>
    </w:p>
    <w:p>
      <w:pPr>
        <w:bidi w:val="0"/>
        <w:rPr>
          <w:rFonts w:hint="eastAsia"/>
          <w:color w:val="auto"/>
        </w:rPr>
      </w:pPr>
      <w:r>
        <w:rPr>
          <w:rFonts w:hint="eastAsia"/>
          <w:color w:val="auto"/>
        </w:rPr>
        <w:t>本工程均为框架结构。</w:t>
      </w:r>
    </w:p>
    <w:p>
      <w:pPr>
        <w:bidi w:val="0"/>
        <w:rPr>
          <w:rFonts w:hint="eastAsia"/>
          <w:color w:val="auto"/>
          <w:lang w:val="zh-CN"/>
        </w:rPr>
      </w:pPr>
      <w:r>
        <w:rPr>
          <w:rFonts w:hint="eastAsia"/>
          <w:color w:val="auto"/>
          <w:lang w:val="en-US" w:eastAsia="zh-CN"/>
        </w:rPr>
        <w:t>3、</w:t>
      </w:r>
      <w:r>
        <w:rPr>
          <w:rFonts w:hint="eastAsia"/>
          <w:color w:val="auto"/>
          <w:lang w:val="zh-CN"/>
        </w:rPr>
        <w:t>基础选型</w:t>
      </w:r>
    </w:p>
    <w:p>
      <w:pPr>
        <w:bidi w:val="0"/>
        <w:rPr>
          <w:rFonts w:hint="eastAsia"/>
          <w:color w:val="auto"/>
        </w:rPr>
      </w:pPr>
      <w:r>
        <w:rPr>
          <w:rFonts w:hint="eastAsia"/>
          <w:color w:val="auto"/>
        </w:rPr>
        <w:t>本工程根据岩土工程勘察报告，基础形式选型如下：</w:t>
      </w:r>
    </w:p>
    <w:p>
      <w:pPr>
        <w:bidi w:val="0"/>
        <w:rPr>
          <w:rFonts w:hint="eastAsia"/>
          <w:color w:val="auto"/>
        </w:rPr>
      </w:pPr>
      <w:r>
        <w:rPr>
          <w:rFonts w:hint="eastAsia"/>
          <w:color w:val="auto"/>
          <w:lang w:val="zh-CN"/>
        </w:rPr>
        <w:t>各栋均采用</w:t>
      </w:r>
      <w:r>
        <w:rPr>
          <w:rFonts w:hint="eastAsia"/>
          <w:color w:val="auto"/>
        </w:rPr>
        <w:t>采用旋挖成孔灌注桩基础，选用</w:t>
      </w:r>
      <w:r>
        <w:rPr>
          <w:rFonts w:hint="eastAsia"/>
          <w:color w:val="auto"/>
          <w:lang w:val="zh-CN"/>
        </w:rPr>
        <w:t>中风化</w:t>
      </w:r>
      <w:r>
        <w:rPr>
          <w:rFonts w:hint="eastAsia"/>
          <w:color w:val="auto"/>
        </w:rPr>
        <w:t>石</w:t>
      </w:r>
      <w:r>
        <w:rPr>
          <w:rFonts w:hint="eastAsia"/>
          <w:color w:val="auto"/>
          <w:lang w:val="zh-CN"/>
        </w:rPr>
        <w:t>灰岩</w:t>
      </w:r>
      <w:r>
        <w:rPr>
          <w:rFonts w:hint="eastAsia"/>
          <w:color w:val="auto"/>
        </w:rPr>
        <w:t>③地基持力层。桩长约为6.00~15.00m，桩端进入持力层深度至少为0.5d（d为桩身直径）且不少于0.5m。</w:t>
      </w:r>
    </w:p>
    <w:p>
      <w:pPr>
        <w:pStyle w:val="3"/>
        <w:bidi w:val="0"/>
        <w:rPr>
          <w:rFonts w:hint="eastAsia"/>
          <w:color w:val="auto"/>
          <w:lang w:val="en-US" w:eastAsia="zh-CN"/>
        </w:rPr>
      </w:pPr>
      <w:bookmarkStart w:id="14" w:name="_Toc7667"/>
      <w:bookmarkStart w:id="15" w:name="_Toc9695"/>
      <w:r>
        <w:rPr>
          <w:rFonts w:hint="eastAsia"/>
          <w:color w:val="auto"/>
          <w:lang w:val="en-US" w:eastAsia="zh-CN"/>
        </w:rPr>
        <w:t>结构分析</w:t>
      </w:r>
      <w:bookmarkEnd w:id="14"/>
      <w:bookmarkEnd w:id="15"/>
    </w:p>
    <w:p>
      <w:pPr>
        <w:bidi w:val="0"/>
        <w:rPr>
          <w:rFonts w:hint="eastAsia"/>
          <w:color w:val="auto"/>
        </w:rPr>
      </w:pPr>
      <w:r>
        <w:rPr>
          <w:rFonts w:hint="eastAsia"/>
          <w:color w:val="auto"/>
        </w:rPr>
        <w:t>1、本工程采用北京盈建科软件股份有限设计编制的“建筑结构空间有限元分析与设计软件YJK</w:t>
      </w:r>
      <w:r>
        <w:rPr>
          <w:rFonts w:hint="eastAsia"/>
          <w:color w:val="auto"/>
          <w:lang w:val="en-US" w:eastAsia="zh-CN"/>
        </w:rPr>
        <w:t>5.3.0</w:t>
      </w:r>
      <w:r>
        <w:rPr>
          <w:rFonts w:hint="eastAsia"/>
          <w:color w:val="auto"/>
        </w:rPr>
        <w:t>版”进行结构整体分析。</w:t>
      </w:r>
    </w:p>
    <w:p>
      <w:pPr>
        <w:bidi w:val="0"/>
        <w:rPr>
          <w:rFonts w:hint="eastAsia"/>
          <w:color w:val="auto"/>
        </w:rPr>
      </w:pPr>
      <w:r>
        <w:rPr>
          <w:rFonts w:hint="eastAsia"/>
          <w:color w:val="auto"/>
        </w:rPr>
        <w:t>2、本工程嵌固端为基础顶面或地下室顶板。</w:t>
      </w:r>
    </w:p>
    <w:p>
      <w:pPr>
        <w:bidi w:val="0"/>
        <w:rPr>
          <w:rFonts w:hint="eastAsia"/>
          <w:color w:val="auto"/>
        </w:rPr>
      </w:pPr>
      <w:r>
        <w:rPr>
          <w:rFonts w:hint="eastAsia"/>
          <w:color w:val="auto"/>
        </w:rPr>
        <w:t>3、</w:t>
      </w:r>
      <w:r>
        <w:rPr>
          <w:rFonts w:hint="eastAsia"/>
          <w:color w:val="auto"/>
          <w:lang w:val="en-US" w:eastAsia="zh-CN"/>
        </w:rPr>
        <w:t>1#办公楼</w:t>
      </w:r>
      <w:r>
        <w:rPr>
          <w:rFonts w:hint="eastAsia"/>
          <w:color w:val="auto"/>
        </w:rPr>
        <w:t>主要计算结果：</w:t>
      </w:r>
    </w:p>
    <w:tbl>
      <w:tblPr>
        <w:tblStyle w:val="1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75" w:type="dxa"/>
          <w:left w:w="105" w:type="dxa"/>
          <w:bottom w:w="75" w:type="dxa"/>
          <w:right w:w="105" w:type="dxa"/>
        </w:tblCellMar>
      </w:tblPr>
      <w:tblGrid>
        <w:gridCol w:w="3438"/>
        <w:gridCol w:w="840"/>
        <w:gridCol w:w="4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47" w:type="pct"/>
            <w:gridSpan w:val="2"/>
            <w:tcBorders>
              <w:tl2br w:val="nil"/>
              <w:tr2bl w:val="nil"/>
            </w:tcBorders>
            <w:vAlign w:val="center"/>
          </w:tcPr>
          <w:p>
            <w:pPr>
              <w:pStyle w:val="17"/>
              <w:bidi w:val="0"/>
              <w:rPr>
                <w:rFonts w:hint="eastAsia"/>
                <w:color w:val="auto"/>
              </w:rPr>
            </w:pPr>
            <w:r>
              <w:rPr>
                <w:rFonts w:hint="eastAsia"/>
                <w:color w:val="auto"/>
              </w:rPr>
              <w:t>指标项</w:t>
            </w:r>
          </w:p>
        </w:tc>
        <w:tc>
          <w:tcPr>
            <w:tcW w:w="2652" w:type="pct"/>
            <w:tcBorders>
              <w:tl2br w:val="nil"/>
              <w:tr2bl w:val="nil"/>
            </w:tcBorders>
            <w:vAlign w:val="center"/>
          </w:tcPr>
          <w:p>
            <w:pPr>
              <w:pStyle w:val="17"/>
              <w:bidi w:val="0"/>
              <w:rPr>
                <w:rFonts w:hint="eastAsia"/>
                <w:color w:val="auto"/>
              </w:rPr>
            </w:pPr>
            <w:r>
              <w:rPr>
                <w:rFonts w:hint="eastAsia"/>
                <w:color w:val="auto"/>
              </w:rPr>
              <w:t>汇总信息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rPr>
          <w:trHeight w:val="504" w:hRule="atLeast"/>
        </w:trPr>
        <w:tc>
          <w:tcPr>
            <w:tcW w:w="2347" w:type="pct"/>
            <w:gridSpan w:val="2"/>
            <w:tcBorders>
              <w:tl2br w:val="nil"/>
              <w:tr2bl w:val="nil"/>
            </w:tcBorders>
            <w:vAlign w:val="center"/>
          </w:tcPr>
          <w:p>
            <w:pPr>
              <w:pStyle w:val="17"/>
              <w:bidi w:val="0"/>
              <w:rPr>
                <w:rFonts w:hint="eastAsia"/>
                <w:color w:val="auto"/>
              </w:rPr>
            </w:pPr>
            <w:r>
              <w:rPr>
                <w:rFonts w:hint="eastAsia"/>
                <w:color w:val="auto"/>
              </w:rPr>
              <w:t>总质量(t)</w:t>
            </w:r>
          </w:p>
        </w:tc>
        <w:tc>
          <w:tcPr>
            <w:tcW w:w="2652" w:type="pct"/>
            <w:tcBorders>
              <w:tl2br w:val="nil"/>
              <w:tr2bl w:val="nil"/>
            </w:tcBorders>
            <w:vAlign w:val="center"/>
          </w:tcPr>
          <w:p>
            <w:pPr>
              <w:pStyle w:val="17"/>
              <w:bidi w:val="0"/>
              <w:rPr>
                <w:rFonts w:hint="eastAsia"/>
                <w:color w:val="auto"/>
              </w:rPr>
            </w:pPr>
            <w:r>
              <w:rPr>
                <w:rFonts w:hint="eastAsia"/>
                <w:color w:val="auto"/>
                <w:lang w:val="en-US" w:eastAsia="zh-CN"/>
              </w:rPr>
              <w:t>20</w:t>
            </w:r>
            <w:r>
              <w:rPr>
                <w:rFonts w:hint="eastAsia"/>
                <w:color w:val="auto"/>
              </w:rPr>
              <w:t>01.99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2347" w:type="pct"/>
            <w:gridSpan w:val="2"/>
            <w:tcBorders>
              <w:tl2br w:val="nil"/>
              <w:tr2bl w:val="nil"/>
            </w:tcBorders>
            <w:vAlign w:val="center"/>
          </w:tcPr>
          <w:p>
            <w:pPr>
              <w:pStyle w:val="17"/>
              <w:bidi w:val="0"/>
              <w:rPr>
                <w:rFonts w:hint="eastAsia"/>
                <w:color w:val="auto"/>
              </w:rPr>
            </w:pPr>
            <w:r>
              <w:rPr>
                <w:rFonts w:hint="eastAsia"/>
                <w:color w:val="auto"/>
              </w:rPr>
              <w:t>质量比</w:t>
            </w:r>
          </w:p>
        </w:tc>
        <w:tc>
          <w:tcPr>
            <w:tcW w:w="2652" w:type="pct"/>
            <w:tcBorders>
              <w:tl2br w:val="nil"/>
              <w:tr2bl w:val="nil"/>
            </w:tcBorders>
            <w:vAlign w:val="center"/>
          </w:tcPr>
          <w:p>
            <w:pPr>
              <w:pStyle w:val="17"/>
              <w:bidi w:val="0"/>
              <w:rPr>
                <w:rFonts w:hint="eastAsia"/>
                <w:color w:val="auto"/>
              </w:rPr>
            </w:pPr>
            <w:r>
              <w:rPr>
                <w:rFonts w:hint="eastAsia"/>
                <w:color w:val="auto"/>
              </w:rPr>
              <w:t>1.00 &lt; [1.5](1层1塔)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最小刚度比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1.00 &gt; [1.0](2层1塔)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1.00 &gt; [1.0](2层1塔)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楼层受剪承载力</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1.00 &gt; [0.80](2层1塔)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1.00 &gt; [0.80](2层1塔)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结构自振周期(s)</w:t>
            </w:r>
          </w:p>
        </w:tc>
        <w:tc>
          <w:tcPr>
            <w:tcW w:w="461" w:type="pct"/>
            <w:tcBorders>
              <w:tl2br w:val="nil"/>
              <w:tr2bl w:val="nil"/>
            </w:tcBorders>
            <w:vAlign w:val="center"/>
          </w:tcPr>
          <w:p>
            <w:pPr>
              <w:pStyle w:val="17"/>
              <w:bidi w:val="0"/>
              <w:rPr>
                <w:rFonts w:hint="eastAsia"/>
                <w:color w:val="auto"/>
              </w:rPr>
            </w:pPr>
            <w:r>
              <w:rPr>
                <w:rFonts w:hint="eastAsia"/>
                <w:color w:val="auto"/>
              </w:rPr>
              <w:t>X</w:t>
            </w:r>
          </w:p>
        </w:tc>
        <w:tc>
          <w:tcPr>
            <w:tcW w:w="2652" w:type="pct"/>
            <w:tcBorders>
              <w:tl2br w:val="nil"/>
              <w:tr2bl w:val="nil"/>
            </w:tcBorders>
            <w:vAlign w:val="center"/>
          </w:tcPr>
          <w:p>
            <w:pPr>
              <w:pStyle w:val="17"/>
              <w:bidi w:val="0"/>
              <w:rPr>
                <w:rFonts w:hint="eastAsia"/>
                <w:color w:val="auto"/>
              </w:rPr>
            </w:pPr>
            <w:r>
              <w:rPr>
                <w:rFonts w:hint="eastAsia"/>
                <w:color w:val="auto"/>
              </w:rPr>
              <w:t>0.6571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0.6214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T</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0.5749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有效质量系数</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90.13% &gt; [90%]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91.37% &gt; [90%]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最小剪重比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1.76% &gt; [0.80%](1层1塔)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1.85% &gt; [0.80%](1层1塔)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最大位移角(地震)</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1/1929 &lt; [1/550](2层1塔)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1/1829 &lt; [1/550](2层1塔)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最大位移角(风)</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1/9999 &lt; [1/550](2层1塔)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1/8956 &lt; [1/550](2层1塔)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最大位移比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1.03 &lt; [1.50](2层1塔)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1.12 &lt; [1.50](1层1塔)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最大层间位移比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1.03 &lt; [1.50](2层1塔)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1.10 &lt; [1.50](2层1塔)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刚重比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47.88 &gt; [10.00](2层1塔)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51.80 &gt; [10.00](2层1塔)</w:t>
            </w:r>
          </w:p>
        </w:tc>
      </w:tr>
    </w:tbl>
    <w:p>
      <w:pPr>
        <w:bidi w:val="0"/>
        <w:rPr>
          <w:rFonts w:hint="eastAsia"/>
          <w:color w:val="auto"/>
        </w:rPr>
      </w:pPr>
      <w:r>
        <w:rPr>
          <w:rFonts w:hint="eastAsia"/>
          <w:color w:val="auto"/>
          <w:lang w:val="en-US" w:eastAsia="zh-CN"/>
        </w:rPr>
        <w:t>4</w:t>
      </w:r>
      <w:r>
        <w:rPr>
          <w:rFonts w:hint="eastAsia"/>
          <w:color w:val="auto"/>
        </w:rPr>
        <w:t>、</w:t>
      </w:r>
      <w:r>
        <w:rPr>
          <w:rFonts w:hint="eastAsia"/>
          <w:color w:val="auto"/>
          <w:lang w:val="en-US" w:eastAsia="zh-CN"/>
        </w:rPr>
        <w:t>2#宿舍</w:t>
      </w:r>
      <w:r>
        <w:rPr>
          <w:rFonts w:hint="eastAsia"/>
          <w:color w:val="auto"/>
        </w:rPr>
        <w:t>主要计算结果：</w:t>
      </w:r>
    </w:p>
    <w:tbl>
      <w:tblPr>
        <w:tblStyle w:val="1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75" w:type="dxa"/>
          <w:left w:w="105" w:type="dxa"/>
          <w:bottom w:w="75" w:type="dxa"/>
          <w:right w:w="105" w:type="dxa"/>
        </w:tblCellMar>
      </w:tblPr>
      <w:tblGrid>
        <w:gridCol w:w="3438"/>
        <w:gridCol w:w="840"/>
        <w:gridCol w:w="4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05" w:type="dxa"/>
            <w:bottom w:w="75" w:type="dxa"/>
            <w:right w:w="105" w:type="dxa"/>
          </w:tblCellMar>
        </w:tblPrEx>
        <w:tc>
          <w:tcPr>
            <w:tcW w:w="2347" w:type="pct"/>
            <w:gridSpan w:val="2"/>
            <w:tcBorders>
              <w:tl2br w:val="nil"/>
              <w:tr2bl w:val="nil"/>
            </w:tcBorders>
            <w:vAlign w:val="center"/>
          </w:tcPr>
          <w:p>
            <w:pPr>
              <w:pStyle w:val="17"/>
              <w:bidi w:val="0"/>
              <w:rPr>
                <w:rFonts w:hint="eastAsia"/>
                <w:color w:val="auto"/>
              </w:rPr>
            </w:pPr>
            <w:r>
              <w:rPr>
                <w:rFonts w:hint="eastAsia"/>
                <w:color w:val="auto"/>
              </w:rPr>
              <w:t>指标项</w:t>
            </w:r>
          </w:p>
        </w:tc>
        <w:tc>
          <w:tcPr>
            <w:tcW w:w="2652" w:type="pct"/>
            <w:tcBorders>
              <w:tl2br w:val="nil"/>
              <w:tr2bl w:val="nil"/>
            </w:tcBorders>
            <w:vAlign w:val="center"/>
          </w:tcPr>
          <w:p>
            <w:pPr>
              <w:pStyle w:val="17"/>
              <w:bidi w:val="0"/>
              <w:rPr>
                <w:rFonts w:hint="eastAsia"/>
                <w:color w:val="auto"/>
              </w:rPr>
            </w:pPr>
            <w:r>
              <w:rPr>
                <w:rFonts w:hint="eastAsia"/>
                <w:color w:val="auto"/>
              </w:rPr>
              <w:t>汇总信息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rPr>
          <w:trHeight w:val="504" w:hRule="atLeast"/>
        </w:trPr>
        <w:tc>
          <w:tcPr>
            <w:tcW w:w="2347" w:type="pct"/>
            <w:gridSpan w:val="2"/>
            <w:tcBorders>
              <w:tl2br w:val="nil"/>
              <w:tr2bl w:val="nil"/>
            </w:tcBorders>
            <w:vAlign w:val="center"/>
          </w:tcPr>
          <w:p>
            <w:pPr>
              <w:pStyle w:val="17"/>
              <w:bidi w:val="0"/>
              <w:rPr>
                <w:rFonts w:hint="eastAsia"/>
                <w:color w:val="auto"/>
              </w:rPr>
            </w:pPr>
            <w:r>
              <w:rPr>
                <w:rFonts w:hint="eastAsia"/>
                <w:color w:val="auto"/>
              </w:rPr>
              <w:t>总质量(t)</w:t>
            </w:r>
          </w:p>
        </w:tc>
        <w:tc>
          <w:tcPr>
            <w:tcW w:w="2652" w:type="pct"/>
            <w:tcBorders>
              <w:tl2br w:val="nil"/>
              <w:tr2bl w:val="nil"/>
            </w:tcBorders>
            <w:vAlign w:val="center"/>
          </w:tcPr>
          <w:p>
            <w:pPr>
              <w:pStyle w:val="17"/>
              <w:bidi w:val="0"/>
              <w:rPr>
                <w:rFonts w:hint="default"/>
                <w:color w:val="auto"/>
                <w:lang w:val="en-US"/>
              </w:rPr>
            </w:pPr>
            <w:r>
              <w:rPr>
                <w:rFonts w:hint="eastAsia"/>
                <w:color w:val="auto"/>
                <w:lang w:val="en-US" w:eastAsia="zh-CN"/>
              </w:rPr>
              <w:t>2976.25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2347" w:type="pct"/>
            <w:gridSpan w:val="2"/>
            <w:tcBorders>
              <w:tl2br w:val="nil"/>
              <w:tr2bl w:val="nil"/>
            </w:tcBorders>
            <w:vAlign w:val="center"/>
          </w:tcPr>
          <w:p>
            <w:pPr>
              <w:pStyle w:val="17"/>
              <w:bidi w:val="0"/>
              <w:rPr>
                <w:rFonts w:hint="eastAsia"/>
                <w:color w:val="auto"/>
              </w:rPr>
            </w:pPr>
            <w:r>
              <w:rPr>
                <w:rFonts w:hint="eastAsia"/>
                <w:color w:val="auto"/>
              </w:rPr>
              <w:t>质量比</w:t>
            </w:r>
          </w:p>
        </w:tc>
        <w:tc>
          <w:tcPr>
            <w:tcW w:w="2652" w:type="pct"/>
            <w:tcBorders>
              <w:tl2br w:val="nil"/>
              <w:tr2bl w:val="nil"/>
            </w:tcBorders>
            <w:vAlign w:val="center"/>
          </w:tcPr>
          <w:p>
            <w:pPr>
              <w:pStyle w:val="17"/>
              <w:bidi w:val="0"/>
              <w:rPr>
                <w:rFonts w:hint="eastAsia"/>
                <w:color w:val="auto"/>
              </w:rPr>
            </w:pPr>
            <w:r>
              <w:rPr>
                <w:rFonts w:hint="eastAsia"/>
                <w:color w:val="auto"/>
              </w:rPr>
              <w:t>1.00 &lt; [1.5](</w:t>
            </w:r>
            <w:r>
              <w:rPr>
                <w:rFonts w:hint="eastAsia"/>
                <w:color w:val="auto"/>
                <w:lang w:val="en-US" w:eastAsia="zh-CN"/>
              </w:rPr>
              <w:t>2</w:t>
            </w:r>
            <w:r>
              <w:rPr>
                <w:rFonts w:hint="eastAsia"/>
                <w:color w:val="auto"/>
              </w:rPr>
              <w:t>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最小刚度比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1.00 &gt; [1.0](2层1塔)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1.00 &gt; [1.0](2层1塔)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楼层受剪承载力</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1.00 &gt; [0.80](2层1塔)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1.00 &gt; [0.80](2层1塔)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结构自振周期(s)</w:t>
            </w:r>
          </w:p>
        </w:tc>
        <w:tc>
          <w:tcPr>
            <w:tcW w:w="461" w:type="pct"/>
            <w:tcBorders>
              <w:tl2br w:val="nil"/>
              <w:tr2bl w:val="nil"/>
            </w:tcBorders>
            <w:vAlign w:val="center"/>
          </w:tcPr>
          <w:p>
            <w:pPr>
              <w:pStyle w:val="17"/>
              <w:bidi w:val="0"/>
              <w:rPr>
                <w:rFonts w:hint="eastAsia"/>
                <w:color w:val="auto"/>
              </w:rPr>
            </w:pPr>
            <w:r>
              <w:rPr>
                <w:rFonts w:hint="eastAsia"/>
                <w:color w:val="auto"/>
              </w:rPr>
              <w:t>X</w:t>
            </w:r>
          </w:p>
        </w:tc>
        <w:tc>
          <w:tcPr>
            <w:tcW w:w="2652" w:type="pct"/>
            <w:tcBorders>
              <w:tl2br w:val="nil"/>
              <w:tr2bl w:val="nil"/>
            </w:tcBorders>
            <w:vAlign w:val="center"/>
          </w:tcPr>
          <w:p>
            <w:pPr>
              <w:pStyle w:val="17"/>
              <w:bidi w:val="0"/>
              <w:rPr>
                <w:rFonts w:hint="default"/>
                <w:color w:val="auto"/>
                <w:lang w:val="en-US"/>
              </w:rPr>
            </w:pPr>
            <w:r>
              <w:rPr>
                <w:rFonts w:hint="eastAsia"/>
                <w:color w:val="auto"/>
              </w:rPr>
              <w:t>0.</w:t>
            </w:r>
            <w:r>
              <w:rPr>
                <w:rFonts w:hint="eastAsia"/>
                <w:color w:val="auto"/>
                <w:lang w:val="en-US" w:eastAsia="zh-CN"/>
              </w:rPr>
              <w:t>6685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w:t>
            </w:r>
          </w:p>
        </w:tc>
        <w:tc>
          <w:tcPr>
            <w:tcW w:w="2652" w:type="pct"/>
            <w:tcBorders>
              <w:tl2br w:val="nil"/>
              <w:tr2bl w:val="nil"/>
            </w:tcBorders>
            <w:tcMar>
              <w:top w:w="75" w:type="dxa"/>
              <w:left w:w="90" w:type="dxa"/>
              <w:bottom w:w="75" w:type="dxa"/>
              <w:right w:w="90" w:type="dxa"/>
            </w:tcMar>
            <w:vAlign w:val="center"/>
          </w:tcPr>
          <w:p>
            <w:pPr>
              <w:pStyle w:val="17"/>
              <w:bidi w:val="0"/>
              <w:rPr>
                <w:rFonts w:hint="default"/>
                <w:color w:val="auto"/>
                <w:lang w:val="en-US" w:eastAsia="zh-CN"/>
              </w:rPr>
            </w:pPr>
            <w:r>
              <w:rPr>
                <w:rFonts w:hint="eastAsia"/>
                <w:color w:val="auto"/>
              </w:rPr>
              <w:t>0.6</w:t>
            </w:r>
            <w:r>
              <w:rPr>
                <w:rFonts w:hint="eastAsia"/>
                <w:color w:val="auto"/>
                <w:lang w:val="en-US" w:eastAsia="zh-CN"/>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T</w:t>
            </w:r>
          </w:p>
        </w:tc>
        <w:tc>
          <w:tcPr>
            <w:tcW w:w="2652" w:type="pct"/>
            <w:tcBorders>
              <w:tl2br w:val="nil"/>
              <w:tr2bl w:val="nil"/>
            </w:tcBorders>
            <w:tcMar>
              <w:top w:w="75" w:type="dxa"/>
              <w:left w:w="90" w:type="dxa"/>
              <w:bottom w:w="75" w:type="dxa"/>
              <w:right w:w="90" w:type="dxa"/>
            </w:tcMar>
            <w:vAlign w:val="center"/>
          </w:tcPr>
          <w:p>
            <w:pPr>
              <w:pStyle w:val="17"/>
              <w:bidi w:val="0"/>
              <w:rPr>
                <w:rFonts w:hint="default"/>
                <w:color w:val="auto"/>
                <w:lang w:val="en-US" w:eastAsia="zh-CN"/>
              </w:rPr>
            </w:pPr>
            <w:r>
              <w:rPr>
                <w:rFonts w:hint="eastAsia"/>
                <w:color w:val="auto"/>
              </w:rPr>
              <w:t>0.5</w:t>
            </w:r>
            <w:r>
              <w:rPr>
                <w:rFonts w:hint="eastAsia"/>
                <w:color w:val="auto"/>
                <w:lang w:val="en-US" w:eastAsia="zh-CN"/>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有效质量系数</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90.13% &gt; [90%]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91.37% &gt; [90%]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最小剪重比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w:t>
            </w:r>
            <w:r>
              <w:rPr>
                <w:rFonts w:hint="eastAsia"/>
                <w:color w:val="auto"/>
                <w:lang w:val="en-US" w:eastAsia="zh-CN"/>
              </w:rPr>
              <w:t>61</w:t>
            </w:r>
            <w:r>
              <w:rPr>
                <w:rFonts w:hint="eastAsia"/>
                <w:color w:val="auto"/>
              </w:rPr>
              <w:t>% &gt; [0.80%](1层1塔)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w:t>
            </w:r>
            <w:r>
              <w:rPr>
                <w:rFonts w:hint="eastAsia"/>
                <w:color w:val="auto"/>
                <w:lang w:val="en-US" w:eastAsia="zh-CN"/>
              </w:rPr>
              <w:t>7</w:t>
            </w:r>
            <w:r>
              <w:rPr>
                <w:rFonts w:hint="eastAsia"/>
                <w:color w:val="auto"/>
              </w:rPr>
              <w:t>5% &gt; [0.80%](1层1塔)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最大位移角(地震)</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1/1</w:t>
            </w:r>
            <w:r>
              <w:rPr>
                <w:rFonts w:hint="eastAsia"/>
                <w:color w:val="auto"/>
                <w:lang w:val="en-US" w:eastAsia="zh-CN"/>
              </w:rPr>
              <w:t>522</w:t>
            </w:r>
            <w:r>
              <w:rPr>
                <w:rFonts w:hint="eastAsia"/>
                <w:color w:val="auto"/>
              </w:rPr>
              <w:t> &lt; [1/550](2层1塔)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1/1</w:t>
            </w:r>
            <w:r>
              <w:rPr>
                <w:rFonts w:hint="eastAsia"/>
                <w:color w:val="auto"/>
                <w:lang w:val="en-US" w:eastAsia="zh-CN"/>
              </w:rPr>
              <w:t>420</w:t>
            </w:r>
            <w:r>
              <w:rPr>
                <w:rFonts w:hint="eastAsia"/>
                <w:color w:val="auto"/>
              </w:rPr>
              <w:t> &lt; [1/550](2层1塔)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最大位移角(风)</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1/9999 &lt; [1/550](2层1塔)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1/8</w:t>
            </w:r>
            <w:r>
              <w:rPr>
                <w:rFonts w:hint="eastAsia"/>
                <w:color w:val="auto"/>
                <w:lang w:val="en-US" w:eastAsia="zh-CN"/>
              </w:rPr>
              <w:t>881</w:t>
            </w:r>
            <w:r>
              <w:rPr>
                <w:rFonts w:hint="eastAsia"/>
                <w:color w:val="auto"/>
              </w:rPr>
              <w:t> &lt; [1/550](2层1塔)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最大位移比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w:t>
            </w:r>
            <w:r>
              <w:rPr>
                <w:rFonts w:hint="eastAsia"/>
                <w:color w:val="auto"/>
                <w:lang w:val="en-US" w:eastAsia="zh-CN"/>
              </w:rPr>
              <w:t>09</w:t>
            </w:r>
            <w:r>
              <w:rPr>
                <w:rFonts w:hint="eastAsia"/>
                <w:color w:val="auto"/>
              </w:rPr>
              <w:t> &lt; [1.50](2层1塔)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1.1</w:t>
            </w:r>
            <w:r>
              <w:rPr>
                <w:rFonts w:hint="eastAsia"/>
                <w:color w:val="auto"/>
                <w:lang w:val="en-US" w:eastAsia="zh-CN"/>
              </w:rPr>
              <w:t>1</w:t>
            </w:r>
            <w:r>
              <w:rPr>
                <w:rFonts w:hint="eastAsia"/>
                <w:color w:val="auto"/>
              </w:rPr>
              <w:t> &lt; [1.50](1层1塔)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最大层间位移比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w:t>
            </w:r>
            <w:r>
              <w:rPr>
                <w:rFonts w:hint="eastAsia"/>
                <w:color w:val="auto"/>
                <w:lang w:val="en-US" w:eastAsia="zh-CN"/>
              </w:rPr>
              <w:t>07</w:t>
            </w:r>
            <w:r>
              <w:rPr>
                <w:rFonts w:hint="eastAsia"/>
                <w:color w:val="auto"/>
              </w:rPr>
              <w:t> &lt; [1.50](2层1塔)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w:t>
            </w:r>
            <w:r>
              <w:rPr>
                <w:rFonts w:hint="eastAsia"/>
                <w:color w:val="auto"/>
                <w:lang w:val="en-US" w:eastAsia="zh-CN"/>
              </w:rPr>
              <w:t>06</w:t>
            </w:r>
            <w:r>
              <w:rPr>
                <w:rFonts w:hint="eastAsia"/>
                <w:color w:val="auto"/>
              </w:rPr>
              <w:t> &lt; [1.50](2层1塔)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刚重比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lang w:val="en-US" w:eastAsia="zh-CN"/>
              </w:rPr>
              <w:t>48.69</w:t>
            </w:r>
            <w:r>
              <w:rPr>
                <w:rFonts w:hint="eastAsia"/>
                <w:color w:val="auto"/>
              </w:rPr>
              <w:t> &gt; [10.00](2层1塔)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lang w:val="en-US" w:eastAsia="zh-CN"/>
              </w:rPr>
              <w:t>56.89</w:t>
            </w:r>
            <w:r>
              <w:rPr>
                <w:rFonts w:hint="eastAsia"/>
                <w:color w:val="auto"/>
              </w:rPr>
              <w:t> &gt; [10.00](2层1塔)</w:t>
            </w:r>
          </w:p>
        </w:tc>
      </w:tr>
    </w:tbl>
    <w:p>
      <w:pPr>
        <w:bidi w:val="0"/>
        <w:rPr>
          <w:rFonts w:hint="eastAsia"/>
          <w:color w:val="auto"/>
        </w:rPr>
      </w:pPr>
      <w:r>
        <w:rPr>
          <w:rFonts w:hint="eastAsia"/>
          <w:color w:val="auto"/>
          <w:lang w:val="en-US" w:eastAsia="zh-CN"/>
        </w:rPr>
        <w:t>5</w:t>
      </w:r>
      <w:r>
        <w:rPr>
          <w:rFonts w:hint="eastAsia"/>
          <w:color w:val="auto"/>
        </w:rPr>
        <w:t>、</w:t>
      </w:r>
      <w:r>
        <w:rPr>
          <w:rFonts w:hint="eastAsia"/>
          <w:color w:val="auto"/>
          <w:lang w:val="en-US" w:eastAsia="zh-CN"/>
        </w:rPr>
        <w:t>3#厂房</w:t>
      </w:r>
      <w:r>
        <w:rPr>
          <w:rFonts w:hint="eastAsia"/>
          <w:color w:val="auto"/>
        </w:rPr>
        <w:t>主要计算结果：</w:t>
      </w:r>
    </w:p>
    <w:tbl>
      <w:tblPr>
        <w:tblStyle w:val="1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75" w:type="dxa"/>
          <w:left w:w="105" w:type="dxa"/>
          <w:bottom w:w="75" w:type="dxa"/>
          <w:right w:w="105" w:type="dxa"/>
        </w:tblCellMar>
      </w:tblPr>
      <w:tblGrid>
        <w:gridCol w:w="3438"/>
        <w:gridCol w:w="840"/>
        <w:gridCol w:w="4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05" w:type="dxa"/>
            <w:bottom w:w="75" w:type="dxa"/>
            <w:right w:w="105" w:type="dxa"/>
          </w:tblCellMar>
        </w:tblPrEx>
        <w:tc>
          <w:tcPr>
            <w:tcW w:w="2347" w:type="pct"/>
            <w:gridSpan w:val="2"/>
            <w:tcBorders>
              <w:tl2br w:val="nil"/>
              <w:tr2bl w:val="nil"/>
            </w:tcBorders>
            <w:vAlign w:val="center"/>
          </w:tcPr>
          <w:p>
            <w:pPr>
              <w:pStyle w:val="17"/>
              <w:bidi w:val="0"/>
              <w:rPr>
                <w:rFonts w:hint="eastAsia"/>
                <w:color w:val="auto"/>
              </w:rPr>
            </w:pPr>
            <w:r>
              <w:rPr>
                <w:rFonts w:hint="eastAsia"/>
                <w:color w:val="auto"/>
              </w:rPr>
              <w:t>指标项</w:t>
            </w:r>
          </w:p>
        </w:tc>
        <w:tc>
          <w:tcPr>
            <w:tcW w:w="2652" w:type="pct"/>
            <w:tcBorders>
              <w:tl2br w:val="nil"/>
              <w:tr2bl w:val="nil"/>
            </w:tcBorders>
            <w:vAlign w:val="center"/>
          </w:tcPr>
          <w:p>
            <w:pPr>
              <w:pStyle w:val="17"/>
              <w:bidi w:val="0"/>
              <w:rPr>
                <w:rFonts w:hint="eastAsia"/>
                <w:color w:val="auto"/>
              </w:rPr>
            </w:pPr>
            <w:r>
              <w:rPr>
                <w:rFonts w:hint="eastAsia"/>
                <w:color w:val="auto"/>
              </w:rPr>
              <w:t>汇总信息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rPr>
          <w:trHeight w:val="504" w:hRule="atLeast"/>
        </w:trPr>
        <w:tc>
          <w:tcPr>
            <w:tcW w:w="2347" w:type="pct"/>
            <w:gridSpan w:val="2"/>
            <w:tcBorders>
              <w:tl2br w:val="nil"/>
              <w:tr2bl w:val="nil"/>
            </w:tcBorders>
            <w:vAlign w:val="center"/>
          </w:tcPr>
          <w:p>
            <w:pPr>
              <w:pStyle w:val="17"/>
              <w:bidi w:val="0"/>
              <w:rPr>
                <w:rFonts w:hint="eastAsia"/>
                <w:color w:val="auto"/>
              </w:rPr>
            </w:pPr>
            <w:r>
              <w:rPr>
                <w:rFonts w:hint="eastAsia"/>
                <w:color w:val="auto"/>
              </w:rPr>
              <w:t>总质量(t)</w:t>
            </w:r>
          </w:p>
        </w:tc>
        <w:tc>
          <w:tcPr>
            <w:tcW w:w="2652" w:type="pct"/>
            <w:tcBorders>
              <w:tl2br w:val="nil"/>
              <w:tr2bl w:val="nil"/>
            </w:tcBorders>
            <w:vAlign w:val="center"/>
          </w:tcPr>
          <w:p>
            <w:pPr>
              <w:pStyle w:val="17"/>
              <w:bidi w:val="0"/>
              <w:rPr>
                <w:rFonts w:hint="eastAsia"/>
                <w:color w:val="auto"/>
              </w:rPr>
            </w:pPr>
            <w:r>
              <w:rPr>
                <w:rFonts w:hint="eastAsia"/>
                <w:color w:val="auto"/>
                <w:lang w:val="en-US" w:eastAsia="zh-CN"/>
              </w:rPr>
              <w:t>898</w:t>
            </w:r>
            <w:r>
              <w:rPr>
                <w:rFonts w:hint="eastAsia"/>
                <w:color w:val="auto"/>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2347" w:type="pct"/>
            <w:gridSpan w:val="2"/>
            <w:tcBorders>
              <w:tl2br w:val="nil"/>
              <w:tr2bl w:val="nil"/>
            </w:tcBorders>
            <w:vAlign w:val="center"/>
          </w:tcPr>
          <w:p>
            <w:pPr>
              <w:pStyle w:val="17"/>
              <w:bidi w:val="0"/>
              <w:rPr>
                <w:rFonts w:hint="eastAsia"/>
                <w:color w:val="auto"/>
              </w:rPr>
            </w:pPr>
            <w:r>
              <w:rPr>
                <w:rFonts w:hint="eastAsia"/>
                <w:color w:val="auto"/>
              </w:rPr>
              <w:t>质量比</w:t>
            </w:r>
          </w:p>
        </w:tc>
        <w:tc>
          <w:tcPr>
            <w:tcW w:w="2652" w:type="pct"/>
            <w:tcBorders>
              <w:tl2br w:val="nil"/>
              <w:tr2bl w:val="nil"/>
            </w:tcBorders>
            <w:vAlign w:val="center"/>
          </w:tcPr>
          <w:p>
            <w:pPr>
              <w:pStyle w:val="17"/>
              <w:bidi w:val="0"/>
              <w:rPr>
                <w:rFonts w:hint="eastAsia"/>
                <w:color w:val="auto"/>
              </w:rPr>
            </w:pPr>
            <w:r>
              <w:rPr>
                <w:rFonts w:hint="eastAsia"/>
                <w:color w:val="auto"/>
              </w:rPr>
              <w:t>1.00 &lt; [1.5](</w:t>
            </w:r>
            <w:r>
              <w:rPr>
                <w:rFonts w:hint="eastAsia"/>
                <w:color w:val="auto"/>
                <w:lang w:val="en-US" w:eastAsia="zh-CN"/>
              </w:rPr>
              <w:t>2</w:t>
            </w:r>
            <w:r>
              <w:rPr>
                <w:rFonts w:hint="eastAsia"/>
                <w:color w:val="auto"/>
              </w:rPr>
              <w:t>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最小刚度比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1.00 &gt; [1.0](2层1塔)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1.00 &gt; [1.0](2层1塔)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楼层受剪承载力</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1.00 &gt; [0.80](2层1塔)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1.00 &gt; [0.80](2层1塔)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结构自振周期(s)</w:t>
            </w:r>
          </w:p>
        </w:tc>
        <w:tc>
          <w:tcPr>
            <w:tcW w:w="461" w:type="pct"/>
            <w:tcBorders>
              <w:tl2br w:val="nil"/>
              <w:tr2bl w:val="nil"/>
            </w:tcBorders>
            <w:vAlign w:val="center"/>
          </w:tcPr>
          <w:p>
            <w:pPr>
              <w:pStyle w:val="17"/>
              <w:bidi w:val="0"/>
              <w:rPr>
                <w:rFonts w:hint="eastAsia"/>
                <w:color w:val="auto"/>
              </w:rPr>
            </w:pPr>
            <w:r>
              <w:rPr>
                <w:rFonts w:hint="eastAsia"/>
                <w:color w:val="auto"/>
              </w:rPr>
              <w:t>X</w:t>
            </w:r>
          </w:p>
        </w:tc>
        <w:tc>
          <w:tcPr>
            <w:tcW w:w="2652" w:type="pct"/>
            <w:tcBorders>
              <w:tl2br w:val="nil"/>
              <w:tr2bl w:val="nil"/>
            </w:tcBorders>
            <w:vAlign w:val="center"/>
          </w:tcPr>
          <w:p>
            <w:pPr>
              <w:pStyle w:val="17"/>
              <w:bidi w:val="0"/>
              <w:rPr>
                <w:rFonts w:hint="eastAsia"/>
                <w:color w:val="auto"/>
              </w:rPr>
            </w:pPr>
            <w:r>
              <w:rPr>
                <w:rFonts w:hint="eastAsia"/>
                <w:color w:val="auto"/>
              </w:rPr>
              <w:t>0.</w:t>
            </w:r>
            <w:r>
              <w:rPr>
                <w:rFonts w:hint="eastAsia"/>
                <w:color w:val="auto"/>
                <w:lang w:val="en-US" w:eastAsia="zh-CN"/>
              </w:rPr>
              <w:t>73</w:t>
            </w:r>
            <w:r>
              <w:rPr>
                <w:rFonts w:hint="eastAsia"/>
                <w:color w:val="auto"/>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0.6214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T</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0.5749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有效质量系数</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90.13% &gt; [90%]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91.37% &gt; [90%]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最小剪重比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w:t>
            </w:r>
            <w:r>
              <w:rPr>
                <w:rFonts w:hint="eastAsia"/>
                <w:color w:val="auto"/>
                <w:lang w:val="en-US" w:eastAsia="zh-CN"/>
              </w:rPr>
              <w:t>61</w:t>
            </w:r>
            <w:r>
              <w:rPr>
                <w:rFonts w:hint="eastAsia"/>
                <w:color w:val="auto"/>
              </w:rPr>
              <w:t>% &gt; [0.80%](1层1塔)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w:t>
            </w:r>
            <w:r>
              <w:rPr>
                <w:rFonts w:hint="eastAsia"/>
                <w:color w:val="auto"/>
                <w:lang w:val="en-US" w:eastAsia="zh-CN"/>
              </w:rPr>
              <w:t>7</w:t>
            </w:r>
            <w:r>
              <w:rPr>
                <w:rFonts w:hint="eastAsia"/>
                <w:color w:val="auto"/>
              </w:rPr>
              <w:t>5% &gt; [0.80%](1层1塔)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最大位移角(地震)</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1/1</w:t>
            </w:r>
            <w:r>
              <w:rPr>
                <w:rFonts w:hint="eastAsia"/>
                <w:color w:val="auto"/>
                <w:lang w:val="en-US" w:eastAsia="zh-CN"/>
              </w:rPr>
              <w:t>839</w:t>
            </w:r>
            <w:r>
              <w:rPr>
                <w:rFonts w:hint="eastAsia"/>
                <w:color w:val="auto"/>
              </w:rPr>
              <w:t> &lt; [1/550](2层1塔)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1/1</w:t>
            </w:r>
            <w:r>
              <w:rPr>
                <w:rFonts w:hint="eastAsia"/>
                <w:color w:val="auto"/>
                <w:lang w:val="en-US" w:eastAsia="zh-CN"/>
              </w:rPr>
              <w:t>724</w:t>
            </w:r>
            <w:r>
              <w:rPr>
                <w:rFonts w:hint="eastAsia"/>
                <w:color w:val="auto"/>
              </w:rPr>
              <w:t> &lt; [1/550](2层1塔)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最大位移角(风)</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1/9999 &lt; [1/550](2层1塔)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1/8956 &lt; [1/550](2层1塔)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最大位移比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w:t>
            </w:r>
            <w:r>
              <w:rPr>
                <w:rFonts w:hint="eastAsia"/>
                <w:color w:val="auto"/>
                <w:lang w:val="en-US" w:eastAsia="zh-CN"/>
              </w:rPr>
              <w:t>1</w:t>
            </w:r>
            <w:r>
              <w:rPr>
                <w:rFonts w:hint="eastAsia"/>
                <w:color w:val="auto"/>
              </w:rPr>
              <w:t>3 &lt; [1.50](2层1塔)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1.1</w:t>
            </w:r>
            <w:r>
              <w:rPr>
                <w:rFonts w:hint="eastAsia"/>
                <w:color w:val="auto"/>
                <w:lang w:val="en-US" w:eastAsia="zh-CN"/>
              </w:rPr>
              <w:t>6</w:t>
            </w:r>
            <w:r>
              <w:rPr>
                <w:rFonts w:hint="eastAsia"/>
                <w:color w:val="auto"/>
              </w:rPr>
              <w:t> &lt; [1.50](1层1塔)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最大层间位移比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w:t>
            </w:r>
            <w:r>
              <w:rPr>
                <w:rFonts w:hint="eastAsia"/>
                <w:color w:val="auto"/>
                <w:lang w:val="en-US" w:eastAsia="zh-CN"/>
              </w:rPr>
              <w:t>12</w:t>
            </w:r>
            <w:r>
              <w:rPr>
                <w:rFonts w:hint="eastAsia"/>
                <w:color w:val="auto"/>
              </w:rPr>
              <w:t> &lt; [1.50](2层1塔)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w:t>
            </w:r>
            <w:r>
              <w:rPr>
                <w:rFonts w:hint="eastAsia"/>
                <w:color w:val="auto"/>
                <w:lang w:val="en-US" w:eastAsia="zh-CN"/>
              </w:rPr>
              <w:t>22</w:t>
            </w:r>
            <w:r>
              <w:rPr>
                <w:rFonts w:hint="eastAsia"/>
                <w:color w:val="auto"/>
              </w:rPr>
              <w:t> &lt; [1.50](2层1塔)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刚重比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lang w:val="en-US" w:eastAsia="zh-CN"/>
              </w:rPr>
              <w:t>42</w:t>
            </w:r>
            <w:r>
              <w:rPr>
                <w:rFonts w:hint="eastAsia"/>
                <w:color w:val="auto"/>
              </w:rPr>
              <w:t>.88 &gt; [10.00](2层1塔)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51.</w:t>
            </w:r>
            <w:r>
              <w:rPr>
                <w:rFonts w:hint="eastAsia"/>
                <w:color w:val="auto"/>
                <w:lang w:val="en-US" w:eastAsia="zh-CN"/>
              </w:rPr>
              <w:t>62</w:t>
            </w:r>
            <w:r>
              <w:rPr>
                <w:rFonts w:hint="eastAsia"/>
                <w:color w:val="auto"/>
              </w:rPr>
              <w:t> &gt; [10.00](2层1塔)</w:t>
            </w:r>
          </w:p>
        </w:tc>
      </w:tr>
    </w:tbl>
    <w:p>
      <w:pPr>
        <w:bidi w:val="0"/>
        <w:rPr>
          <w:rFonts w:hint="eastAsia"/>
          <w:color w:val="auto"/>
        </w:rPr>
      </w:pPr>
      <w:r>
        <w:rPr>
          <w:rFonts w:hint="eastAsia"/>
          <w:color w:val="auto"/>
          <w:lang w:val="en-US" w:eastAsia="zh-CN"/>
        </w:rPr>
        <w:t>6</w:t>
      </w:r>
      <w:r>
        <w:rPr>
          <w:rFonts w:hint="eastAsia"/>
          <w:color w:val="auto"/>
        </w:rPr>
        <w:t>、</w:t>
      </w:r>
      <w:r>
        <w:rPr>
          <w:rFonts w:hint="eastAsia"/>
          <w:color w:val="auto"/>
          <w:lang w:val="en-US" w:eastAsia="zh-CN"/>
        </w:rPr>
        <w:t>4-6#厂房</w:t>
      </w:r>
      <w:r>
        <w:rPr>
          <w:rFonts w:hint="eastAsia"/>
          <w:color w:val="auto"/>
        </w:rPr>
        <w:t>主要计算结果：</w:t>
      </w:r>
    </w:p>
    <w:tbl>
      <w:tblPr>
        <w:tblStyle w:val="1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75" w:type="dxa"/>
          <w:left w:w="105" w:type="dxa"/>
          <w:bottom w:w="75" w:type="dxa"/>
          <w:right w:w="105" w:type="dxa"/>
        </w:tblCellMar>
      </w:tblPr>
      <w:tblGrid>
        <w:gridCol w:w="3438"/>
        <w:gridCol w:w="840"/>
        <w:gridCol w:w="4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105" w:type="dxa"/>
            <w:bottom w:w="75" w:type="dxa"/>
            <w:right w:w="105" w:type="dxa"/>
          </w:tblCellMar>
        </w:tblPrEx>
        <w:tc>
          <w:tcPr>
            <w:tcW w:w="2347" w:type="pct"/>
            <w:gridSpan w:val="2"/>
            <w:tcBorders>
              <w:tl2br w:val="nil"/>
              <w:tr2bl w:val="nil"/>
            </w:tcBorders>
            <w:vAlign w:val="center"/>
          </w:tcPr>
          <w:p>
            <w:pPr>
              <w:pStyle w:val="17"/>
              <w:bidi w:val="0"/>
              <w:rPr>
                <w:rFonts w:hint="eastAsia"/>
                <w:color w:val="auto"/>
              </w:rPr>
            </w:pPr>
            <w:r>
              <w:rPr>
                <w:rFonts w:hint="eastAsia"/>
                <w:color w:val="auto"/>
              </w:rPr>
              <w:t>指标项</w:t>
            </w:r>
          </w:p>
        </w:tc>
        <w:tc>
          <w:tcPr>
            <w:tcW w:w="2652" w:type="pct"/>
            <w:tcBorders>
              <w:tl2br w:val="nil"/>
              <w:tr2bl w:val="nil"/>
            </w:tcBorders>
            <w:vAlign w:val="center"/>
          </w:tcPr>
          <w:p>
            <w:pPr>
              <w:pStyle w:val="17"/>
              <w:bidi w:val="0"/>
              <w:rPr>
                <w:rFonts w:hint="eastAsia"/>
                <w:color w:val="auto"/>
              </w:rPr>
            </w:pPr>
            <w:r>
              <w:rPr>
                <w:rFonts w:hint="eastAsia"/>
                <w:color w:val="auto"/>
              </w:rPr>
              <w:t>汇总信息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rPr>
          <w:trHeight w:val="504" w:hRule="atLeast"/>
        </w:trPr>
        <w:tc>
          <w:tcPr>
            <w:tcW w:w="2347" w:type="pct"/>
            <w:gridSpan w:val="2"/>
            <w:tcBorders>
              <w:tl2br w:val="nil"/>
              <w:tr2bl w:val="nil"/>
            </w:tcBorders>
            <w:vAlign w:val="center"/>
          </w:tcPr>
          <w:p>
            <w:pPr>
              <w:pStyle w:val="17"/>
              <w:bidi w:val="0"/>
              <w:rPr>
                <w:rFonts w:hint="eastAsia"/>
                <w:color w:val="auto"/>
              </w:rPr>
            </w:pPr>
            <w:r>
              <w:rPr>
                <w:rFonts w:hint="eastAsia"/>
                <w:color w:val="auto"/>
              </w:rPr>
              <w:t>总质量(t)</w:t>
            </w:r>
          </w:p>
        </w:tc>
        <w:tc>
          <w:tcPr>
            <w:tcW w:w="2652" w:type="pct"/>
            <w:tcBorders>
              <w:tl2br w:val="nil"/>
              <w:tr2bl w:val="nil"/>
            </w:tcBorders>
            <w:vAlign w:val="center"/>
          </w:tcPr>
          <w:p>
            <w:pPr>
              <w:pStyle w:val="17"/>
              <w:bidi w:val="0"/>
              <w:rPr>
                <w:rFonts w:hint="default"/>
                <w:color w:val="auto"/>
                <w:lang w:val="en-US"/>
              </w:rPr>
            </w:pPr>
            <w:r>
              <w:rPr>
                <w:rFonts w:hint="eastAsia"/>
                <w:color w:val="auto"/>
                <w:lang w:val="en-US" w:eastAsia="zh-CN"/>
              </w:rPr>
              <w:t>10827.33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2347" w:type="pct"/>
            <w:gridSpan w:val="2"/>
            <w:tcBorders>
              <w:tl2br w:val="nil"/>
              <w:tr2bl w:val="nil"/>
            </w:tcBorders>
            <w:vAlign w:val="center"/>
          </w:tcPr>
          <w:p>
            <w:pPr>
              <w:pStyle w:val="17"/>
              <w:bidi w:val="0"/>
              <w:rPr>
                <w:rFonts w:hint="eastAsia"/>
                <w:color w:val="auto"/>
              </w:rPr>
            </w:pPr>
            <w:r>
              <w:rPr>
                <w:rFonts w:hint="eastAsia"/>
                <w:color w:val="auto"/>
              </w:rPr>
              <w:t>质量比</w:t>
            </w:r>
          </w:p>
        </w:tc>
        <w:tc>
          <w:tcPr>
            <w:tcW w:w="2652" w:type="pct"/>
            <w:tcBorders>
              <w:tl2br w:val="nil"/>
              <w:tr2bl w:val="nil"/>
            </w:tcBorders>
            <w:vAlign w:val="center"/>
          </w:tcPr>
          <w:p>
            <w:pPr>
              <w:pStyle w:val="17"/>
              <w:bidi w:val="0"/>
              <w:rPr>
                <w:rFonts w:hint="eastAsia"/>
                <w:color w:val="auto"/>
              </w:rPr>
            </w:pPr>
            <w:r>
              <w:rPr>
                <w:rFonts w:hint="eastAsia"/>
                <w:color w:val="auto"/>
              </w:rPr>
              <w:t>1.00 &lt; [1.5](</w:t>
            </w:r>
            <w:r>
              <w:rPr>
                <w:rFonts w:hint="eastAsia"/>
                <w:color w:val="auto"/>
                <w:lang w:val="en-US" w:eastAsia="zh-CN"/>
              </w:rPr>
              <w:t>2</w:t>
            </w:r>
            <w:r>
              <w:rPr>
                <w:rFonts w:hint="eastAsia"/>
                <w:color w:val="auto"/>
              </w:rPr>
              <w:t>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最小刚度比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1.00 &gt; [1.0](2层1塔)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1.00 &gt; [1.0](2层1塔)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楼层受剪承载力</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1.00 &gt; [0.80](2层1塔)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1.00 &gt; [0.80](2层1塔)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结构自振周期(s)</w:t>
            </w:r>
          </w:p>
        </w:tc>
        <w:tc>
          <w:tcPr>
            <w:tcW w:w="461" w:type="pct"/>
            <w:tcBorders>
              <w:tl2br w:val="nil"/>
              <w:tr2bl w:val="nil"/>
            </w:tcBorders>
            <w:vAlign w:val="center"/>
          </w:tcPr>
          <w:p>
            <w:pPr>
              <w:pStyle w:val="17"/>
              <w:bidi w:val="0"/>
              <w:rPr>
                <w:rFonts w:hint="eastAsia"/>
                <w:color w:val="auto"/>
              </w:rPr>
            </w:pPr>
            <w:r>
              <w:rPr>
                <w:rFonts w:hint="eastAsia"/>
                <w:color w:val="auto"/>
              </w:rPr>
              <w:t>X</w:t>
            </w:r>
          </w:p>
        </w:tc>
        <w:tc>
          <w:tcPr>
            <w:tcW w:w="2652" w:type="pct"/>
            <w:tcBorders>
              <w:tl2br w:val="nil"/>
              <w:tr2bl w:val="nil"/>
            </w:tcBorders>
            <w:vAlign w:val="center"/>
          </w:tcPr>
          <w:p>
            <w:pPr>
              <w:pStyle w:val="17"/>
              <w:bidi w:val="0"/>
              <w:rPr>
                <w:rFonts w:hint="eastAsia"/>
                <w:color w:val="auto"/>
              </w:rPr>
            </w:pPr>
            <w:r>
              <w:rPr>
                <w:rFonts w:hint="eastAsia"/>
                <w:color w:val="auto"/>
              </w:rPr>
              <w:t>0.</w:t>
            </w:r>
            <w:r>
              <w:rPr>
                <w:rFonts w:hint="eastAsia"/>
                <w:color w:val="auto"/>
                <w:lang w:val="en-US" w:eastAsia="zh-CN"/>
              </w:rPr>
              <w:t>73</w:t>
            </w:r>
            <w:r>
              <w:rPr>
                <w:rFonts w:hint="eastAsia"/>
                <w:color w:val="auto"/>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0.6214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T</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0.5749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有效质量系数</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90.13% &gt; [90%]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91.37% &gt; [90%]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最小剪重比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w:t>
            </w:r>
            <w:r>
              <w:rPr>
                <w:rFonts w:hint="eastAsia"/>
                <w:color w:val="auto"/>
                <w:lang w:val="en-US" w:eastAsia="zh-CN"/>
              </w:rPr>
              <w:t>61</w:t>
            </w:r>
            <w:r>
              <w:rPr>
                <w:rFonts w:hint="eastAsia"/>
                <w:color w:val="auto"/>
              </w:rPr>
              <w:t>% &gt; [0.80%](1层1塔)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w:t>
            </w:r>
            <w:r>
              <w:rPr>
                <w:rFonts w:hint="eastAsia"/>
                <w:color w:val="auto"/>
                <w:lang w:val="en-US" w:eastAsia="zh-CN"/>
              </w:rPr>
              <w:t>7</w:t>
            </w:r>
            <w:r>
              <w:rPr>
                <w:rFonts w:hint="eastAsia"/>
                <w:color w:val="auto"/>
              </w:rPr>
              <w:t>5% &gt; [0.80%](1层1塔)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最大位移角(地震)</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1/1</w:t>
            </w:r>
            <w:r>
              <w:rPr>
                <w:rFonts w:hint="eastAsia"/>
                <w:color w:val="auto"/>
                <w:lang w:val="en-US" w:eastAsia="zh-CN"/>
              </w:rPr>
              <w:t>839</w:t>
            </w:r>
            <w:r>
              <w:rPr>
                <w:rFonts w:hint="eastAsia"/>
                <w:color w:val="auto"/>
              </w:rPr>
              <w:t> &lt; [1/550](2层1塔)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1/1</w:t>
            </w:r>
            <w:r>
              <w:rPr>
                <w:rFonts w:hint="eastAsia"/>
                <w:color w:val="auto"/>
                <w:lang w:val="en-US" w:eastAsia="zh-CN"/>
              </w:rPr>
              <w:t>724</w:t>
            </w:r>
            <w:r>
              <w:rPr>
                <w:rFonts w:hint="eastAsia"/>
                <w:color w:val="auto"/>
              </w:rPr>
              <w:t> &lt; [1/550](2层1塔)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最大位移角(风)</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1/9999 &lt; [1/550](2层1塔)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1/8956 &lt; [1/550](2层1塔)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最大位移比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w:t>
            </w:r>
            <w:r>
              <w:rPr>
                <w:rFonts w:hint="eastAsia"/>
                <w:color w:val="auto"/>
                <w:lang w:val="en-US" w:eastAsia="zh-CN"/>
              </w:rPr>
              <w:t>13</w:t>
            </w:r>
            <w:r>
              <w:rPr>
                <w:rFonts w:hint="eastAsia"/>
                <w:color w:val="auto"/>
              </w:rPr>
              <w:t>&lt; [1.50](2层1塔)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1.1</w:t>
            </w:r>
            <w:r>
              <w:rPr>
                <w:rFonts w:hint="eastAsia"/>
                <w:color w:val="auto"/>
                <w:lang w:val="en-US" w:eastAsia="zh-CN"/>
              </w:rPr>
              <w:t>4</w:t>
            </w:r>
            <w:r>
              <w:rPr>
                <w:rFonts w:hint="eastAsia"/>
                <w:color w:val="auto"/>
              </w:rPr>
              <w:t> &lt; [1.50](1层1塔)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最大层间位移比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rPr>
              <w:t>1.</w:t>
            </w:r>
            <w:r>
              <w:rPr>
                <w:rFonts w:hint="eastAsia"/>
                <w:color w:val="auto"/>
                <w:lang w:val="en-US" w:eastAsia="zh-CN"/>
              </w:rPr>
              <w:t>12</w:t>
            </w:r>
            <w:r>
              <w:rPr>
                <w:rFonts w:hint="eastAsia"/>
                <w:color w:val="auto"/>
              </w:rPr>
              <w:t> &lt; [1.50](2层1塔)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w:t>
            </w:r>
            <w:r>
              <w:rPr>
                <w:rFonts w:hint="eastAsia"/>
                <w:color w:val="auto"/>
                <w:lang w:val="en-US" w:eastAsia="zh-CN"/>
              </w:rPr>
              <w:t>21</w:t>
            </w:r>
            <w:r>
              <w:rPr>
                <w:rFonts w:hint="eastAsia"/>
                <w:color w:val="auto"/>
              </w:rPr>
              <w:t> &lt; [1.50](2层1塔)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5" w:type="dxa"/>
            <w:left w:w="90" w:type="dxa"/>
            <w:bottom w:w="75" w:type="dxa"/>
            <w:right w:w="90" w:type="dxa"/>
          </w:tblCellMar>
        </w:tblPrEx>
        <w:tc>
          <w:tcPr>
            <w:tcW w:w="1886" w:type="pct"/>
            <w:vMerge w:val="restart"/>
            <w:tcBorders>
              <w:tl2br w:val="nil"/>
              <w:tr2bl w:val="nil"/>
            </w:tcBorders>
            <w:vAlign w:val="center"/>
          </w:tcPr>
          <w:p>
            <w:pPr>
              <w:pStyle w:val="17"/>
              <w:bidi w:val="0"/>
              <w:rPr>
                <w:rFonts w:hint="eastAsia"/>
                <w:color w:val="auto"/>
              </w:rPr>
            </w:pPr>
            <w:r>
              <w:rPr>
                <w:rFonts w:hint="eastAsia"/>
                <w:color w:val="auto"/>
              </w:rPr>
              <w:t>刚重比</w:t>
            </w:r>
          </w:p>
        </w:tc>
        <w:tc>
          <w:tcPr>
            <w:tcW w:w="461" w:type="pct"/>
            <w:tcBorders>
              <w:tl2br w:val="nil"/>
              <w:tr2bl w:val="nil"/>
            </w:tcBorders>
            <w:vAlign w:val="center"/>
          </w:tcPr>
          <w:p>
            <w:pPr>
              <w:pStyle w:val="17"/>
              <w:bidi w:val="0"/>
              <w:rPr>
                <w:rFonts w:hint="eastAsia"/>
                <w:color w:val="auto"/>
              </w:rPr>
            </w:pPr>
            <w:r>
              <w:rPr>
                <w:rFonts w:hint="eastAsia"/>
                <w:color w:val="auto"/>
              </w:rPr>
              <w:t>X向</w:t>
            </w:r>
          </w:p>
        </w:tc>
        <w:tc>
          <w:tcPr>
            <w:tcW w:w="2652" w:type="pct"/>
            <w:tcBorders>
              <w:tl2br w:val="nil"/>
              <w:tr2bl w:val="nil"/>
            </w:tcBorders>
            <w:vAlign w:val="center"/>
          </w:tcPr>
          <w:p>
            <w:pPr>
              <w:pStyle w:val="17"/>
              <w:bidi w:val="0"/>
              <w:rPr>
                <w:rFonts w:hint="eastAsia"/>
                <w:color w:val="auto"/>
              </w:rPr>
            </w:pPr>
            <w:r>
              <w:rPr>
                <w:rFonts w:hint="eastAsia"/>
                <w:color w:val="auto"/>
                <w:lang w:val="en-US" w:eastAsia="zh-CN"/>
              </w:rPr>
              <w:t>41.56</w:t>
            </w:r>
            <w:r>
              <w:rPr>
                <w:rFonts w:hint="eastAsia"/>
                <w:color w:val="auto"/>
              </w:rPr>
              <w:t>&gt; [10.00](2层1塔)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86" w:type="pct"/>
            <w:vMerge w:val="continue"/>
            <w:tcBorders>
              <w:tl2br w:val="nil"/>
              <w:tr2bl w:val="nil"/>
            </w:tcBorders>
            <w:tcMar>
              <w:left w:w="90" w:type="dxa"/>
              <w:bottom w:w="75" w:type="dxa"/>
            </w:tcMar>
            <w:vAlign w:val="center"/>
          </w:tcPr>
          <w:p>
            <w:pPr>
              <w:pStyle w:val="17"/>
              <w:bidi w:val="0"/>
              <w:rPr>
                <w:rFonts w:hint="eastAsia"/>
                <w:color w:val="auto"/>
              </w:rPr>
            </w:pPr>
          </w:p>
        </w:tc>
        <w:tc>
          <w:tcPr>
            <w:tcW w:w="461"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2" w:type="pct"/>
            <w:tcBorders>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lang w:val="en-US" w:eastAsia="zh-CN"/>
              </w:rPr>
              <w:t>43.89</w:t>
            </w:r>
            <w:r>
              <w:rPr>
                <w:rFonts w:hint="eastAsia"/>
                <w:color w:val="auto"/>
              </w:rPr>
              <w:t>&gt; [10.00](2层1塔)</w:t>
            </w:r>
          </w:p>
        </w:tc>
      </w:tr>
    </w:tbl>
    <w:p>
      <w:pPr>
        <w:bidi w:val="0"/>
        <w:rPr>
          <w:rFonts w:hint="eastAsia"/>
          <w:color w:val="auto"/>
        </w:rPr>
      </w:pPr>
      <w:r>
        <w:rPr>
          <w:rFonts w:hint="eastAsia"/>
          <w:color w:val="auto"/>
          <w:lang w:val="en-US" w:eastAsia="zh-CN"/>
        </w:rPr>
        <w:t>6、</w:t>
      </w:r>
      <w:r>
        <w:rPr>
          <w:rFonts w:hint="eastAsia"/>
          <w:color w:val="auto"/>
          <w:lang w:eastAsia="zh-CN"/>
        </w:rPr>
        <w:t>设备用房</w:t>
      </w:r>
      <w:r>
        <w:rPr>
          <w:rFonts w:hint="eastAsia"/>
          <w:color w:val="auto"/>
        </w:rPr>
        <w:t>主要计算结果：</w:t>
      </w:r>
    </w:p>
    <w:tbl>
      <w:tblPr>
        <w:tblStyle w:val="14"/>
        <w:tblW w:w="4999" w:type="pct"/>
        <w:tblInd w:w="0" w:type="dxa"/>
        <w:tblLayout w:type="autofit"/>
        <w:tblCellMar>
          <w:top w:w="75" w:type="dxa"/>
          <w:left w:w="105" w:type="dxa"/>
          <w:bottom w:w="75" w:type="dxa"/>
          <w:right w:w="105" w:type="dxa"/>
        </w:tblCellMar>
      </w:tblPr>
      <w:tblGrid>
        <w:gridCol w:w="3438"/>
        <w:gridCol w:w="839"/>
        <w:gridCol w:w="4836"/>
      </w:tblGrid>
      <w:tr>
        <w:tblPrEx>
          <w:tblCellMar>
            <w:top w:w="75" w:type="dxa"/>
            <w:left w:w="105" w:type="dxa"/>
            <w:bottom w:w="75" w:type="dxa"/>
            <w:right w:w="105" w:type="dxa"/>
          </w:tblCellMar>
        </w:tblPrEx>
        <w:trPr>
          <w:trHeight w:val="23" w:hRule="atLeast"/>
        </w:trPr>
        <w:tc>
          <w:tcPr>
            <w:tcW w:w="2346" w:type="pct"/>
            <w:gridSpan w:val="2"/>
            <w:tcBorders>
              <w:top w:val="single" w:color="000000" w:sz="12" w:space="0"/>
              <w:left w:val="single" w:color="000000" w:sz="12" w:space="0"/>
              <w:bottom w:val="single" w:color="000000" w:sz="12" w:space="0"/>
              <w:right w:val="single" w:color="000000" w:sz="12" w:space="0"/>
              <w:tl2br w:val="nil"/>
              <w:tr2bl w:val="nil"/>
            </w:tcBorders>
            <w:vAlign w:val="center"/>
          </w:tcPr>
          <w:p>
            <w:pPr>
              <w:pStyle w:val="17"/>
              <w:bidi w:val="0"/>
              <w:rPr>
                <w:rFonts w:hint="eastAsia"/>
                <w:color w:val="auto"/>
              </w:rPr>
            </w:pPr>
            <w:r>
              <w:rPr>
                <w:rFonts w:hint="eastAsia"/>
                <w:color w:val="auto"/>
              </w:rPr>
              <w:t>指标项</w:t>
            </w:r>
          </w:p>
        </w:tc>
        <w:tc>
          <w:tcPr>
            <w:tcW w:w="2653" w:type="pct"/>
            <w:tcBorders>
              <w:top w:val="single" w:color="000000" w:sz="12" w:space="0"/>
              <w:left w:val="single" w:color="000000" w:sz="12" w:space="0"/>
              <w:bottom w:val="single" w:color="000000" w:sz="12" w:space="0"/>
              <w:right w:val="single" w:color="000000" w:sz="12" w:space="0"/>
              <w:tl2br w:val="nil"/>
              <w:tr2bl w:val="nil"/>
            </w:tcBorders>
            <w:vAlign w:val="center"/>
          </w:tcPr>
          <w:p>
            <w:pPr>
              <w:pStyle w:val="17"/>
              <w:bidi w:val="0"/>
              <w:rPr>
                <w:rFonts w:hint="eastAsia"/>
                <w:color w:val="auto"/>
              </w:rPr>
            </w:pPr>
            <w:r>
              <w:rPr>
                <w:rFonts w:hint="eastAsia"/>
                <w:color w:val="auto"/>
              </w:rPr>
              <w:t>汇总信息</w:t>
            </w:r>
          </w:p>
        </w:tc>
      </w:tr>
      <w:tr>
        <w:tblPrEx>
          <w:tblCellMar>
            <w:top w:w="75" w:type="dxa"/>
            <w:left w:w="90" w:type="dxa"/>
            <w:bottom w:w="75" w:type="dxa"/>
            <w:right w:w="90" w:type="dxa"/>
          </w:tblCellMar>
        </w:tblPrEx>
        <w:trPr>
          <w:trHeight w:val="23" w:hRule="atLeast"/>
        </w:trPr>
        <w:tc>
          <w:tcPr>
            <w:tcW w:w="2346" w:type="pct"/>
            <w:gridSpan w:val="2"/>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总质量(t)</w:t>
            </w:r>
          </w:p>
        </w:tc>
        <w:tc>
          <w:tcPr>
            <w:tcW w:w="2653"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default"/>
                <w:color w:val="auto"/>
                <w:lang w:val="en-US" w:eastAsia="zh-CN"/>
              </w:rPr>
            </w:pPr>
            <w:r>
              <w:rPr>
                <w:rFonts w:hint="eastAsia"/>
                <w:color w:val="auto"/>
                <w:lang w:val="en-US" w:eastAsia="zh-CN"/>
              </w:rPr>
              <w:t>1015.22</w:t>
            </w:r>
          </w:p>
        </w:tc>
      </w:tr>
      <w:tr>
        <w:tblPrEx>
          <w:tblCellMar>
            <w:top w:w="75" w:type="dxa"/>
            <w:left w:w="90" w:type="dxa"/>
            <w:bottom w:w="75" w:type="dxa"/>
            <w:right w:w="90" w:type="dxa"/>
          </w:tblCellMar>
        </w:tblPrEx>
        <w:trPr>
          <w:trHeight w:val="23" w:hRule="atLeast"/>
        </w:trPr>
        <w:tc>
          <w:tcPr>
            <w:tcW w:w="2346" w:type="pct"/>
            <w:gridSpan w:val="2"/>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质量比</w:t>
            </w:r>
          </w:p>
        </w:tc>
        <w:tc>
          <w:tcPr>
            <w:tcW w:w="2653"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1.24 &lt; [1.5](</w:t>
            </w:r>
            <w:r>
              <w:rPr>
                <w:rFonts w:hint="eastAsia"/>
                <w:color w:val="auto"/>
                <w:lang w:val="en-US" w:eastAsia="zh-CN"/>
              </w:rPr>
              <w:t>2</w:t>
            </w:r>
            <w:r>
              <w:rPr>
                <w:rFonts w:hint="eastAsia"/>
                <w:color w:val="auto"/>
              </w:rPr>
              <w:t>层1塔)</w:t>
            </w:r>
          </w:p>
        </w:tc>
      </w:tr>
      <w:tr>
        <w:tblPrEx>
          <w:tblCellMar>
            <w:top w:w="75" w:type="dxa"/>
            <w:left w:w="90" w:type="dxa"/>
            <w:bottom w:w="75" w:type="dxa"/>
            <w:right w:w="90" w:type="dxa"/>
          </w:tblCellMar>
        </w:tblPrEx>
        <w:trPr>
          <w:trHeight w:val="23" w:hRule="atLeast"/>
        </w:trPr>
        <w:tc>
          <w:tcPr>
            <w:tcW w:w="1886" w:type="pct"/>
            <w:vMerge w:val="restar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最小刚度比</w:t>
            </w:r>
          </w:p>
        </w:tc>
        <w:tc>
          <w:tcPr>
            <w:tcW w:w="460"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X向</w:t>
            </w:r>
          </w:p>
        </w:tc>
        <w:tc>
          <w:tcPr>
            <w:tcW w:w="2653"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1.00 &gt; [1.0](</w:t>
            </w:r>
            <w:r>
              <w:rPr>
                <w:rFonts w:hint="eastAsia"/>
                <w:color w:val="auto"/>
                <w:lang w:val="en-US" w:eastAsia="zh-CN"/>
              </w:rPr>
              <w:t>2</w:t>
            </w:r>
            <w:r>
              <w:rPr>
                <w:rFonts w:hint="eastAsia"/>
                <w:color w:val="auto"/>
              </w:rPr>
              <w:t>层1塔)</w:t>
            </w:r>
          </w:p>
        </w:tc>
      </w:tr>
      <w:tr>
        <w:tblPrEx>
          <w:tblCellMar>
            <w:top w:w="0" w:type="dxa"/>
            <w:left w:w="0" w:type="dxa"/>
            <w:bottom w:w="0" w:type="dxa"/>
            <w:right w:w="0" w:type="dxa"/>
          </w:tblCellMar>
        </w:tblPrEx>
        <w:trPr>
          <w:trHeight w:val="23" w:hRule="atLeast"/>
        </w:trPr>
        <w:tc>
          <w:tcPr>
            <w:tcW w:w="1886" w:type="pct"/>
            <w:vMerge w:val="continue"/>
            <w:tcBorders>
              <w:top w:val="nil"/>
              <w:left w:val="single" w:color="000000" w:sz="6" w:space="0"/>
              <w:bottom w:val="single" w:color="000000" w:sz="6" w:space="0"/>
              <w:right w:val="single" w:color="000000" w:sz="6" w:space="0"/>
              <w:tl2br w:val="nil"/>
              <w:tr2bl w:val="nil"/>
            </w:tcBorders>
            <w:tcMar>
              <w:left w:w="90" w:type="dxa"/>
              <w:bottom w:w="75" w:type="dxa"/>
            </w:tcMar>
            <w:vAlign w:val="center"/>
          </w:tcPr>
          <w:p>
            <w:pPr>
              <w:pStyle w:val="17"/>
              <w:bidi w:val="0"/>
              <w:rPr>
                <w:rFonts w:hint="eastAsia"/>
                <w:color w:val="auto"/>
              </w:rPr>
            </w:pPr>
          </w:p>
        </w:tc>
        <w:tc>
          <w:tcPr>
            <w:tcW w:w="460"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3"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1.00 &gt; [1.0](</w:t>
            </w:r>
            <w:r>
              <w:rPr>
                <w:rFonts w:hint="eastAsia"/>
                <w:color w:val="auto"/>
                <w:lang w:val="en-US" w:eastAsia="zh-CN"/>
              </w:rPr>
              <w:t>2</w:t>
            </w:r>
            <w:r>
              <w:rPr>
                <w:rFonts w:hint="eastAsia"/>
                <w:color w:val="auto"/>
              </w:rPr>
              <w:t>层1塔)</w:t>
            </w:r>
          </w:p>
        </w:tc>
      </w:tr>
      <w:tr>
        <w:tblPrEx>
          <w:tblCellMar>
            <w:top w:w="75" w:type="dxa"/>
            <w:left w:w="90" w:type="dxa"/>
            <w:bottom w:w="75" w:type="dxa"/>
            <w:right w:w="90" w:type="dxa"/>
          </w:tblCellMar>
        </w:tblPrEx>
        <w:trPr>
          <w:trHeight w:val="23" w:hRule="atLeast"/>
        </w:trPr>
        <w:tc>
          <w:tcPr>
            <w:tcW w:w="1886" w:type="pct"/>
            <w:vMerge w:val="restar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楼层受剪承载力</w:t>
            </w:r>
          </w:p>
        </w:tc>
        <w:tc>
          <w:tcPr>
            <w:tcW w:w="460"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X向</w:t>
            </w:r>
          </w:p>
        </w:tc>
        <w:tc>
          <w:tcPr>
            <w:tcW w:w="2653"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1.00 &gt; [0.80](</w:t>
            </w:r>
            <w:r>
              <w:rPr>
                <w:rFonts w:hint="eastAsia"/>
                <w:color w:val="auto"/>
                <w:lang w:val="en-US" w:eastAsia="zh-CN"/>
              </w:rPr>
              <w:t>2</w:t>
            </w:r>
            <w:r>
              <w:rPr>
                <w:rFonts w:hint="eastAsia"/>
                <w:color w:val="auto"/>
              </w:rPr>
              <w:t>层1塔)</w:t>
            </w:r>
          </w:p>
        </w:tc>
      </w:tr>
      <w:tr>
        <w:tblPrEx>
          <w:tblCellMar>
            <w:top w:w="0" w:type="dxa"/>
            <w:left w:w="0" w:type="dxa"/>
            <w:bottom w:w="0" w:type="dxa"/>
            <w:right w:w="0" w:type="dxa"/>
          </w:tblCellMar>
        </w:tblPrEx>
        <w:trPr>
          <w:trHeight w:val="23" w:hRule="atLeast"/>
        </w:trPr>
        <w:tc>
          <w:tcPr>
            <w:tcW w:w="1886" w:type="pct"/>
            <w:vMerge w:val="continue"/>
            <w:tcBorders>
              <w:top w:val="nil"/>
              <w:left w:val="single" w:color="000000" w:sz="6" w:space="0"/>
              <w:bottom w:val="single" w:color="000000" w:sz="6" w:space="0"/>
              <w:right w:val="single" w:color="000000" w:sz="6" w:space="0"/>
              <w:tl2br w:val="nil"/>
              <w:tr2bl w:val="nil"/>
            </w:tcBorders>
            <w:tcMar>
              <w:left w:w="90" w:type="dxa"/>
              <w:bottom w:w="75" w:type="dxa"/>
            </w:tcMar>
            <w:vAlign w:val="center"/>
          </w:tcPr>
          <w:p>
            <w:pPr>
              <w:pStyle w:val="17"/>
              <w:bidi w:val="0"/>
              <w:rPr>
                <w:rFonts w:hint="eastAsia"/>
                <w:color w:val="auto"/>
              </w:rPr>
            </w:pPr>
          </w:p>
        </w:tc>
        <w:tc>
          <w:tcPr>
            <w:tcW w:w="460"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3"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1.00 &gt; [0.80](</w:t>
            </w:r>
            <w:r>
              <w:rPr>
                <w:rFonts w:hint="eastAsia"/>
                <w:color w:val="auto"/>
                <w:lang w:val="en-US" w:eastAsia="zh-CN"/>
              </w:rPr>
              <w:t>2</w:t>
            </w:r>
            <w:r>
              <w:rPr>
                <w:rFonts w:hint="eastAsia"/>
                <w:color w:val="auto"/>
              </w:rPr>
              <w:t>层1塔)</w:t>
            </w:r>
          </w:p>
        </w:tc>
      </w:tr>
      <w:tr>
        <w:tblPrEx>
          <w:tblCellMar>
            <w:top w:w="75" w:type="dxa"/>
            <w:left w:w="90" w:type="dxa"/>
            <w:bottom w:w="75" w:type="dxa"/>
            <w:right w:w="90" w:type="dxa"/>
          </w:tblCellMar>
        </w:tblPrEx>
        <w:trPr>
          <w:trHeight w:val="23" w:hRule="atLeast"/>
        </w:trPr>
        <w:tc>
          <w:tcPr>
            <w:tcW w:w="1886" w:type="pct"/>
            <w:vMerge w:val="restar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结构自振周期(s)</w:t>
            </w:r>
          </w:p>
        </w:tc>
        <w:tc>
          <w:tcPr>
            <w:tcW w:w="460"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X</w:t>
            </w:r>
          </w:p>
        </w:tc>
        <w:tc>
          <w:tcPr>
            <w:tcW w:w="2653"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1.0196</w:t>
            </w:r>
          </w:p>
        </w:tc>
      </w:tr>
      <w:tr>
        <w:tblPrEx>
          <w:tblCellMar>
            <w:top w:w="0" w:type="dxa"/>
            <w:left w:w="0" w:type="dxa"/>
            <w:bottom w:w="0" w:type="dxa"/>
            <w:right w:w="0" w:type="dxa"/>
          </w:tblCellMar>
        </w:tblPrEx>
        <w:trPr>
          <w:trHeight w:val="23" w:hRule="atLeast"/>
        </w:trPr>
        <w:tc>
          <w:tcPr>
            <w:tcW w:w="1886" w:type="pct"/>
            <w:vMerge w:val="continue"/>
            <w:tcBorders>
              <w:top w:val="nil"/>
              <w:left w:val="single" w:color="000000" w:sz="6" w:space="0"/>
              <w:bottom w:val="nil"/>
              <w:right w:val="single" w:color="000000" w:sz="6" w:space="0"/>
              <w:tl2br w:val="nil"/>
              <w:tr2bl w:val="nil"/>
            </w:tcBorders>
            <w:tcMar>
              <w:left w:w="90" w:type="dxa"/>
            </w:tcMar>
            <w:vAlign w:val="center"/>
          </w:tcPr>
          <w:p>
            <w:pPr>
              <w:pStyle w:val="17"/>
              <w:bidi w:val="0"/>
              <w:rPr>
                <w:rFonts w:hint="eastAsia"/>
                <w:color w:val="auto"/>
              </w:rPr>
            </w:pPr>
          </w:p>
        </w:tc>
        <w:tc>
          <w:tcPr>
            <w:tcW w:w="460"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w:t>
            </w:r>
          </w:p>
        </w:tc>
        <w:tc>
          <w:tcPr>
            <w:tcW w:w="2653"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0.9823</w:t>
            </w:r>
          </w:p>
        </w:tc>
      </w:tr>
      <w:tr>
        <w:tblPrEx>
          <w:tblCellMar>
            <w:top w:w="0" w:type="dxa"/>
            <w:left w:w="0" w:type="dxa"/>
            <w:bottom w:w="0" w:type="dxa"/>
            <w:right w:w="0" w:type="dxa"/>
          </w:tblCellMar>
        </w:tblPrEx>
        <w:trPr>
          <w:trHeight w:val="23" w:hRule="atLeast"/>
        </w:trPr>
        <w:tc>
          <w:tcPr>
            <w:tcW w:w="1886" w:type="pct"/>
            <w:vMerge w:val="continue"/>
            <w:tcBorders>
              <w:top w:val="nil"/>
              <w:left w:val="single" w:color="000000" w:sz="6" w:space="0"/>
              <w:bottom w:val="single" w:color="000000" w:sz="6" w:space="0"/>
              <w:right w:val="single" w:color="000000" w:sz="6" w:space="0"/>
              <w:tl2br w:val="nil"/>
              <w:tr2bl w:val="nil"/>
            </w:tcBorders>
            <w:tcMar>
              <w:left w:w="90" w:type="dxa"/>
              <w:bottom w:w="75" w:type="dxa"/>
            </w:tcMar>
            <w:vAlign w:val="center"/>
          </w:tcPr>
          <w:p>
            <w:pPr>
              <w:pStyle w:val="17"/>
              <w:bidi w:val="0"/>
              <w:rPr>
                <w:rFonts w:hint="eastAsia"/>
                <w:color w:val="auto"/>
              </w:rPr>
            </w:pPr>
          </w:p>
        </w:tc>
        <w:tc>
          <w:tcPr>
            <w:tcW w:w="460"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T</w:t>
            </w:r>
          </w:p>
        </w:tc>
        <w:tc>
          <w:tcPr>
            <w:tcW w:w="2653"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0.7638</w:t>
            </w:r>
          </w:p>
        </w:tc>
      </w:tr>
      <w:tr>
        <w:tblPrEx>
          <w:tblCellMar>
            <w:top w:w="75" w:type="dxa"/>
            <w:left w:w="90" w:type="dxa"/>
            <w:bottom w:w="75" w:type="dxa"/>
            <w:right w:w="90" w:type="dxa"/>
          </w:tblCellMar>
        </w:tblPrEx>
        <w:trPr>
          <w:trHeight w:val="23" w:hRule="atLeast"/>
        </w:trPr>
        <w:tc>
          <w:tcPr>
            <w:tcW w:w="1886" w:type="pct"/>
            <w:vMerge w:val="restar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有效质量系数</w:t>
            </w:r>
          </w:p>
        </w:tc>
        <w:tc>
          <w:tcPr>
            <w:tcW w:w="460"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X向</w:t>
            </w:r>
          </w:p>
        </w:tc>
        <w:tc>
          <w:tcPr>
            <w:tcW w:w="2653"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91.32% &gt; [90%]</w:t>
            </w:r>
          </w:p>
        </w:tc>
      </w:tr>
      <w:tr>
        <w:tblPrEx>
          <w:tblCellMar>
            <w:top w:w="0" w:type="dxa"/>
            <w:left w:w="0" w:type="dxa"/>
            <w:bottom w:w="0" w:type="dxa"/>
            <w:right w:w="0" w:type="dxa"/>
          </w:tblCellMar>
        </w:tblPrEx>
        <w:trPr>
          <w:trHeight w:val="23" w:hRule="atLeast"/>
        </w:trPr>
        <w:tc>
          <w:tcPr>
            <w:tcW w:w="1886" w:type="pct"/>
            <w:vMerge w:val="continue"/>
            <w:tcBorders>
              <w:top w:val="nil"/>
              <w:left w:val="single" w:color="000000" w:sz="6" w:space="0"/>
              <w:bottom w:val="single" w:color="000000" w:sz="6" w:space="0"/>
              <w:right w:val="single" w:color="000000" w:sz="6" w:space="0"/>
              <w:tl2br w:val="nil"/>
              <w:tr2bl w:val="nil"/>
            </w:tcBorders>
            <w:tcMar>
              <w:left w:w="90" w:type="dxa"/>
              <w:bottom w:w="75" w:type="dxa"/>
            </w:tcMar>
            <w:vAlign w:val="center"/>
          </w:tcPr>
          <w:p>
            <w:pPr>
              <w:pStyle w:val="17"/>
              <w:bidi w:val="0"/>
              <w:rPr>
                <w:rFonts w:hint="eastAsia"/>
                <w:color w:val="auto"/>
              </w:rPr>
            </w:pPr>
          </w:p>
        </w:tc>
        <w:tc>
          <w:tcPr>
            <w:tcW w:w="460"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3"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99.60% &gt; [90%]</w:t>
            </w:r>
          </w:p>
        </w:tc>
      </w:tr>
      <w:tr>
        <w:tblPrEx>
          <w:tblCellMar>
            <w:top w:w="75" w:type="dxa"/>
            <w:left w:w="90" w:type="dxa"/>
            <w:bottom w:w="75" w:type="dxa"/>
            <w:right w:w="90" w:type="dxa"/>
          </w:tblCellMar>
        </w:tblPrEx>
        <w:trPr>
          <w:trHeight w:val="23" w:hRule="atLeast"/>
        </w:trPr>
        <w:tc>
          <w:tcPr>
            <w:tcW w:w="1886" w:type="pct"/>
            <w:vMerge w:val="restar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最小剪重比</w:t>
            </w:r>
          </w:p>
        </w:tc>
        <w:tc>
          <w:tcPr>
            <w:tcW w:w="460"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X向</w:t>
            </w:r>
          </w:p>
        </w:tc>
        <w:tc>
          <w:tcPr>
            <w:tcW w:w="2653"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1.49% &gt; [0.80%](2层1塔)</w:t>
            </w:r>
          </w:p>
        </w:tc>
      </w:tr>
      <w:tr>
        <w:tblPrEx>
          <w:tblCellMar>
            <w:top w:w="0" w:type="dxa"/>
            <w:left w:w="0" w:type="dxa"/>
            <w:bottom w:w="0" w:type="dxa"/>
            <w:right w:w="0" w:type="dxa"/>
          </w:tblCellMar>
        </w:tblPrEx>
        <w:trPr>
          <w:trHeight w:val="23" w:hRule="atLeast"/>
        </w:trPr>
        <w:tc>
          <w:tcPr>
            <w:tcW w:w="1886" w:type="pct"/>
            <w:vMerge w:val="continue"/>
            <w:tcBorders>
              <w:top w:val="nil"/>
              <w:left w:val="single" w:color="000000" w:sz="6" w:space="0"/>
              <w:bottom w:val="single" w:color="000000" w:sz="6" w:space="0"/>
              <w:right w:val="single" w:color="000000" w:sz="6" w:space="0"/>
              <w:tl2br w:val="nil"/>
              <w:tr2bl w:val="nil"/>
            </w:tcBorders>
            <w:tcMar>
              <w:left w:w="90" w:type="dxa"/>
              <w:bottom w:w="75" w:type="dxa"/>
            </w:tcMar>
            <w:vAlign w:val="center"/>
          </w:tcPr>
          <w:p>
            <w:pPr>
              <w:pStyle w:val="17"/>
              <w:bidi w:val="0"/>
              <w:rPr>
                <w:rFonts w:hint="eastAsia"/>
                <w:color w:val="auto"/>
              </w:rPr>
            </w:pPr>
          </w:p>
        </w:tc>
        <w:tc>
          <w:tcPr>
            <w:tcW w:w="460"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3"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1.45% &gt; [0.80%](2层1塔)</w:t>
            </w:r>
          </w:p>
        </w:tc>
      </w:tr>
      <w:tr>
        <w:tblPrEx>
          <w:tblCellMar>
            <w:top w:w="75" w:type="dxa"/>
            <w:left w:w="90" w:type="dxa"/>
            <w:bottom w:w="75" w:type="dxa"/>
            <w:right w:w="90" w:type="dxa"/>
          </w:tblCellMar>
        </w:tblPrEx>
        <w:trPr>
          <w:trHeight w:val="23" w:hRule="atLeast"/>
        </w:trPr>
        <w:tc>
          <w:tcPr>
            <w:tcW w:w="1886" w:type="pct"/>
            <w:vMerge w:val="restar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最大位移角(地震)</w:t>
            </w:r>
          </w:p>
        </w:tc>
        <w:tc>
          <w:tcPr>
            <w:tcW w:w="460"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X向</w:t>
            </w:r>
          </w:p>
        </w:tc>
        <w:tc>
          <w:tcPr>
            <w:tcW w:w="2653"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1/2315 &lt; [1/550](3层1塔)</w:t>
            </w:r>
          </w:p>
        </w:tc>
      </w:tr>
      <w:tr>
        <w:tblPrEx>
          <w:tblCellMar>
            <w:top w:w="0" w:type="dxa"/>
            <w:left w:w="0" w:type="dxa"/>
            <w:bottom w:w="0" w:type="dxa"/>
            <w:right w:w="0" w:type="dxa"/>
          </w:tblCellMar>
        </w:tblPrEx>
        <w:trPr>
          <w:trHeight w:val="23" w:hRule="atLeast"/>
        </w:trPr>
        <w:tc>
          <w:tcPr>
            <w:tcW w:w="1886" w:type="pct"/>
            <w:vMerge w:val="continue"/>
            <w:tcBorders>
              <w:top w:val="nil"/>
              <w:left w:val="single" w:color="000000" w:sz="6" w:space="0"/>
              <w:bottom w:val="single" w:color="000000" w:sz="6" w:space="0"/>
              <w:right w:val="single" w:color="000000" w:sz="6" w:space="0"/>
              <w:tl2br w:val="nil"/>
              <w:tr2bl w:val="nil"/>
            </w:tcBorders>
            <w:tcMar>
              <w:left w:w="90" w:type="dxa"/>
              <w:bottom w:w="75" w:type="dxa"/>
            </w:tcMar>
            <w:vAlign w:val="center"/>
          </w:tcPr>
          <w:p>
            <w:pPr>
              <w:pStyle w:val="17"/>
              <w:bidi w:val="0"/>
              <w:rPr>
                <w:rFonts w:hint="eastAsia"/>
                <w:color w:val="auto"/>
              </w:rPr>
            </w:pPr>
          </w:p>
        </w:tc>
        <w:tc>
          <w:tcPr>
            <w:tcW w:w="460"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3"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1/2187 &lt; [1/550](2层1塔)</w:t>
            </w:r>
          </w:p>
        </w:tc>
      </w:tr>
      <w:tr>
        <w:tblPrEx>
          <w:tblCellMar>
            <w:top w:w="75" w:type="dxa"/>
            <w:left w:w="90" w:type="dxa"/>
            <w:bottom w:w="75" w:type="dxa"/>
            <w:right w:w="90" w:type="dxa"/>
          </w:tblCellMar>
        </w:tblPrEx>
        <w:trPr>
          <w:trHeight w:val="23" w:hRule="atLeast"/>
        </w:trPr>
        <w:tc>
          <w:tcPr>
            <w:tcW w:w="1886" w:type="pct"/>
            <w:vMerge w:val="restar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最大位移角(风)</w:t>
            </w:r>
          </w:p>
        </w:tc>
        <w:tc>
          <w:tcPr>
            <w:tcW w:w="460"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X向</w:t>
            </w:r>
          </w:p>
        </w:tc>
        <w:tc>
          <w:tcPr>
            <w:tcW w:w="2653"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1/3958 &lt; [1/550](2层1塔)</w:t>
            </w:r>
          </w:p>
        </w:tc>
      </w:tr>
      <w:tr>
        <w:tblPrEx>
          <w:tblCellMar>
            <w:top w:w="0" w:type="dxa"/>
            <w:left w:w="0" w:type="dxa"/>
            <w:bottom w:w="0" w:type="dxa"/>
            <w:right w:w="0" w:type="dxa"/>
          </w:tblCellMar>
        </w:tblPrEx>
        <w:trPr>
          <w:trHeight w:val="23" w:hRule="atLeast"/>
        </w:trPr>
        <w:tc>
          <w:tcPr>
            <w:tcW w:w="1886" w:type="pct"/>
            <w:vMerge w:val="continue"/>
            <w:tcBorders>
              <w:top w:val="nil"/>
              <w:left w:val="single" w:color="000000" w:sz="6" w:space="0"/>
              <w:bottom w:val="single" w:color="000000" w:sz="6" w:space="0"/>
              <w:right w:val="single" w:color="000000" w:sz="6" w:space="0"/>
              <w:tl2br w:val="nil"/>
              <w:tr2bl w:val="nil"/>
            </w:tcBorders>
            <w:tcMar>
              <w:left w:w="90" w:type="dxa"/>
              <w:bottom w:w="75" w:type="dxa"/>
            </w:tcMar>
            <w:vAlign w:val="center"/>
          </w:tcPr>
          <w:p>
            <w:pPr>
              <w:pStyle w:val="17"/>
              <w:bidi w:val="0"/>
              <w:rPr>
                <w:rFonts w:hint="eastAsia"/>
                <w:color w:val="auto"/>
              </w:rPr>
            </w:pPr>
          </w:p>
        </w:tc>
        <w:tc>
          <w:tcPr>
            <w:tcW w:w="460"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3"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1/8186 &lt; [1/550](2层1塔)</w:t>
            </w:r>
          </w:p>
        </w:tc>
      </w:tr>
      <w:tr>
        <w:tblPrEx>
          <w:tblCellMar>
            <w:top w:w="75" w:type="dxa"/>
            <w:left w:w="90" w:type="dxa"/>
            <w:bottom w:w="75" w:type="dxa"/>
            <w:right w:w="90" w:type="dxa"/>
          </w:tblCellMar>
        </w:tblPrEx>
        <w:trPr>
          <w:trHeight w:val="23" w:hRule="atLeast"/>
        </w:trPr>
        <w:tc>
          <w:tcPr>
            <w:tcW w:w="1886" w:type="pct"/>
            <w:vMerge w:val="restar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最大位移比</w:t>
            </w:r>
          </w:p>
        </w:tc>
        <w:tc>
          <w:tcPr>
            <w:tcW w:w="460"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X向</w:t>
            </w:r>
          </w:p>
        </w:tc>
        <w:tc>
          <w:tcPr>
            <w:tcW w:w="2653"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1.37 &lt; [1.50](2层1塔)</w:t>
            </w:r>
          </w:p>
        </w:tc>
      </w:tr>
      <w:tr>
        <w:tblPrEx>
          <w:tblCellMar>
            <w:top w:w="0" w:type="dxa"/>
            <w:left w:w="0" w:type="dxa"/>
            <w:bottom w:w="0" w:type="dxa"/>
            <w:right w:w="0" w:type="dxa"/>
          </w:tblCellMar>
        </w:tblPrEx>
        <w:trPr>
          <w:trHeight w:val="23" w:hRule="atLeast"/>
        </w:trPr>
        <w:tc>
          <w:tcPr>
            <w:tcW w:w="1886" w:type="pct"/>
            <w:vMerge w:val="continue"/>
            <w:tcBorders>
              <w:top w:val="nil"/>
              <w:left w:val="single" w:color="000000" w:sz="6" w:space="0"/>
              <w:bottom w:val="single" w:color="000000" w:sz="6" w:space="0"/>
              <w:right w:val="single" w:color="000000" w:sz="6" w:space="0"/>
              <w:tl2br w:val="nil"/>
              <w:tr2bl w:val="nil"/>
            </w:tcBorders>
            <w:tcMar>
              <w:left w:w="90" w:type="dxa"/>
              <w:bottom w:w="75" w:type="dxa"/>
            </w:tcMar>
            <w:vAlign w:val="center"/>
          </w:tcPr>
          <w:p>
            <w:pPr>
              <w:pStyle w:val="17"/>
              <w:bidi w:val="0"/>
              <w:rPr>
                <w:rFonts w:hint="eastAsia"/>
                <w:color w:val="auto"/>
              </w:rPr>
            </w:pPr>
          </w:p>
        </w:tc>
        <w:tc>
          <w:tcPr>
            <w:tcW w:w="460"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3"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1.15 &lt; [1.50](2层1塔)</w:t>
            </w:r>
          </w:p>
        </w:tc>
      </w:tr>
      <w:tr>
        <w:tblPrEx>
          <w:tblCellMar>
            <w:top w:w="75" w:type="dxa"/>
            <w:left w:w="90" w:type="dxa"/>
            <w:bottom w:w="75" w:type="dxa"/>
            <w:right w:w="90" w:type="dxa"/>
          </w:tblCellMar>
        </w:tblPrEx>
        <w:trPr>
          <w:trHeight w:val="23" w:hRule="atLeast"/>
        </w:trPr>
        <w:tc>
          <w:tcPr>
            <w:tcW w:w="1886" w:type="pct"/>
            <w:vMerge w:val="restar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最大层间位移比</w:t>
            </w:r>
          </w:p>
        </w:tc>
        <w:tc>
          <w:tcPr>
            <w:tcW w:w="460"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X向</w:t>
            </w:r>
          </w:p>
        </w:tc>
        <w:tc>
          <w:tcPr>
            <w:tcW w:w="2653"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1.35 &lt; [1.50](2层1塔)</w:t>
            </w:r>
          </w:p>
        </w:tc>
      </w:tr>
      <w:tr>
        <w:tblPrEx>
          <w:tblCellMar>
            <w:top w:w="0" w:type="dxa"/>
            <w:left w:w="0" w:type="dxa"/>
            <w:bottom w:w="0" w:type="dxa"/>
            <w:right w:w="0" w:type="dxa"/>
          </w:tblCellMar>
        </w:tblPrEx>
        <w:trPr>
          <w:trHeight w:val="23" w:hRule="atLeast"/>
        </w:trPr>
        <w:tc>
          <w:tcPr>
            <w:tcW w:w="1886" w:type="pct"/>
            <w:vMerge w:val="continue"/>
            <w:tcBorders>
              <w:top w:val="nil"/>
              <w:left w:val="single" w:color="000000" w:sz="6" w:space="0"/>
              <w:bottom w:val="single" w:color="000000" w:sz="6" w:space="0"/>
              <w:right w:val="single" w:color="000000" w:sz="6" w:space="0"/>
              <w:tl2br w:val="nil"/>
              <w:tr2bl w:val="nil"/>
            </w:tcBorders>
            <w:tcMar>
              <w:left w:w="90" w:type="dxa"/>
              <w:bottom w:w="75" w:type="dxa"/>
            </w:tcMar>
            <w:vAlign w:val="center"/>
          </w:tcPr>
          <w:p>
            <w:pPr>
              <w:pStyle w:val="17"/>
              <w:bidi w:val="0"/>
              <w:rPr>
                <w:rFonts w:hint="eastAsia"/>
                <w:color w:val="auto"/>
              </w:rPr>
            </w:pPr>
          </w:p>
        </w:tc>
        <w:tc>
          <w:tcPr>
            <w:tcW w:w="460"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3"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1.16 &lt; [1.50](2层1塔)</w:t>
            </w:r>
          </w:p>
        </w:tc>
      </w:tr>
      <w:tr>
        <w:tblPrEx>
          <w:tblCellMar>
            <w:top w:w="75" w:type="dxa"/>
            <w:left w:w="90" w:type="dxa"/>
            <w:bottom w:w="75" w:type="dxa"/>
            <w:right w:w="90" w:type="dxa"/>
          </w:tblCellMar>
        </w:tblPrEx>
        <w:trPr>
          <w:trHeight w:val="23" w:hRule="atLeast"/>
        </w:trPr>
        <w:tc>
          <w:tcPr>
            <w:tcW w:w="1886" w:type="pct"/>
            <w:vMerge w:val="restar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刚重比</w:t>
            </w:r>
          </w:p>
        </w:tc>
        <w:tc>
          <w:tcPr>
            <w:tcW w:w="460"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X向</w:t>
            </w:r>
          </w:p>
        </w:tc>
        <w:tc>
          <w:tcPr>
            <w:tcW w:w="2653" w:type="pct"/>
            <w:tcBorders>
              <w:top w:val="single" w:color="000000" w:sz="6" w:space="0"/>
              <w:left w:val="single" w:color="000000" w:sz="6" w:space="0"/>
              <w:bottom w:val="single" w:color="000000" w:sz="6" w:space="0"/>
              <w:right w:val="single" w:color="000000" w:sz="6" w:space="0"/>
              <w:tl2br w:val="nil"/>
              <w:tr2bl w:val="nil"/>
            </w:tcBorders>
            <w:vAlign w:val="center"/>
          </w:tcPr>
          <w:p>
            <w:pPr>
              <w:pStyle w:val="17"/>
              <w:bidi w:val="0"/>
              <w:rPr>
                <w:rFonts w:hint="eastAsia"/>
                <w:color w:val="auto"/>
              </w:rPr>
            </w:pPr>
            <w:r>
              <w:rPr>
                <w:rFonts w:hint="eastAsia"/>
                <w:color w:val="auto"/>
              </w:rPr>
              <w:t>34.38 &gt; [10.00](2层1塔)</w:t>
            </w:r>
          </w:p>
        </w:tc>
      </w:tr>
      <w:tr>
        <w:tblPrEx>
          <w:tblCellMar>
            <w:top w:w="0" w:type="dxa"/>
            <w:left w:w="0" w:type="dxa"/>
            <w:bottom w:w="0" w:type="dxa"/>
            <w:right w:w="0" w:type="dxa"/>
          </w:tblCellMar>
        </w:tblPrEx>
        <w:trPr>
          <w:trHeight w:val="23" w:hRule="atLeast"/>
        </w:trPr>
        <w:tc>
          <w:tcPr>
            <w:tcW w:w="1886" w:type="pct"/>
            <w:vMerge w:val="continue"/>
            <w:tcBorders>
              <w:top w:val="nil"/>
              <w:left w:val="single" w:color="000000" w:sz="6" w:space="0"/>
              <w:bottom w:val="single" w:color="000000" w:sz="6" w:space="0"/>
              <w:right w:val="single" w:color="000000" w:sz="6" w:space="0"/>
              <w:tl2br w:val="nil"/>
              <w:tr2bl w:val="nil"/>
            </w:tcBorders>
            <w:tcMar>
              <w:left w:w="90" w:type="dxa"/>
              <w:bottom w:w="75" w:type="dxa"/>
            </w:tcMar>
            <w:vAlign w:val="center"/>
          </w:tcPr>
          <w:p>
            <w:pPr>
              <w:pStyle w:val="17"/>
              <w:bidi w:val="0"/>
              <w:rPr>
                <w:rFonts w:hint="eastAsia"/>
                <w:color w:val="auto"/>
              </w:rPr>
            </w:pPr>
          </w:p>
        </w:tc>
        <w:tc>
          <w:tcPr>
            <w:tcW w:w="460"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Y向</w:t>
            </w:r>
          </w:p>
        </w:tc>
        <w:tc>
          <w:tcPr>
            <w:tcW w:w="2653" w:type="pct"/>
            <w:tcBorders>
              <w:top w:val="single" w:color="000000" w:sz="6" w:space="0"/>
              <w:left w:val="single" w:color="000000" w:sz="6" w:space="0"/>
              <w:bottom w:val="single" w:color="000000" w:sz="6" w:space="0"/>
              <w:right w:val="single" w:color="000000" w:sz="6" w:space="0"/>
              <w:tl2br w:val="nil"/>
              <w:tr2bl w:val="nil"/>
            </w:tcBorders>
            <w:tcMar>
              <w:top w:w="75" w:type="dxa"/>
              <w:left w:w="90" w:type="dxa"/>
              <w:bottom w:w="75" w:type="dxa"/>
              <w:right w:w="90" w:type="dxa"/>
            </w:tcMar>
            <w:vAlign w:val="center"/>
          </w:tcPr>
          <w:p>
            <w:pPr>
              <w:pStyle w:val="17"/>
              <w:bidi w:val="0"/>
              <w:rPr>
                <w:rFonts w:hint="eastAsia"/>
                <w:color w:val="auto"/>
              </w:rPr>
            </w:pPr>
            <w:r>
              <w:rPr>
                <w:rFonts w:hint="eastAsia"/>
                <w:color w:val="auto"/>
              </w:rPr>
              <w:t>35.67 &gt; [10.00](2层1塔)</w:t>
            </w:r>
          </w:p>
        </w:tc>
      </w:tr>
    </w:tbl>
    <w:p>
      <w:pPr>
        <w:bidi w:val="0"/>
        <w:rPr>
          <w:rFonts w:hint="eastAsia"/>
          <w:color w:val="auto"/>
        </w:rPr>
      </w:pPr>
      <w:r>
        <w:rPr>
          <w:rFonts w:hint="eastAsia"/>
          <w:color w:val="auto"/>
          <w:spacing w:val="-20"/>
          <w:sz w:val="30"/>
          <w:lang w:val="en-US" w:eastAsia="zh-CN"/>
        </w:rPr>
        <w:t>7、</w:t>
      </w:r>
      <w:r>
        <w:rPr>
          <w:rFonts w:hint="eastAsia"/>
          <w:color w:val="auto"/>
          <w:spacing w:val="-20"/>
          <w:sz w:val="30"/>
        </w:rPr>
        <w:t>通过以上计算参数结果分析，结合形体判别，均无需进行超限审查</w:t>
      </w:r>
      <w:r>
        <w:rPr>
          <w:rFonts w:hint="eastAsia"/>
          <w:color w:val="auto"/>
        </w:rPr>
        <w:t>。</w:t>
      </w:r>
    </w:p>
    <w:tbl>
      <w:tblPr>
        <w:tblStyle w:val="14"/>
        <w:tblW w:w="47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14"/>
        <w:gridCol w:w="1662"/>
        <w:gridCol w:w="4519"/>
        <w:gridCol w:w="581"/>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41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序号</w:t>
            </w:r>
          </w:p>
        </w:tc>
        <w:tc>
          <w:tcPr>
            <w:tcW w:w="96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不规则类型</w:t>
            </w:r>
          </w:p>
        </w:tc>
        <w:tc>
          <w:tcPr>
            <w:tcW w:w="2621"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超限类别</w:t>
            </w:r>
          </w:p>
        </w:tc>
        <w:tc>
          <w:tcPr>
            <w:tcW w:w="337" w:type="pct"/>
            <w:shd w:val="clear" w:color="auto" w:fill="auto"/>
            <w:vAlign w:val="center"/>
          </w:tcPr>
          <w:p>
            <w:pPr>
              <w:pStyle w:val="17"/>
              <w:bidi w:val="0"/>
              <w:rPr>
                <w:rFonts w:hint="eastAsia"/>
                <w:color w:val="auto"/>
              </w:rPr>
            </w:pPr>
            <w:r>
              <w:rPr>
                <w:rFonts w:hint="eastAsia"/>
                <w:color w:val="auto"/>
              </w:rPr>
              <w:t>超限判定</w:t>
            </w:r>
          </w:p>
        </w:tc>
        <w:tc>
          <w:tcPr>
            <w:tcW w:w="661" w:type="pct"/>
            <w:shd w:val="clear" w:color="auto" w:fill="auto"/>
            <w:vAlign w:val="center"/>
          </w:tcPr>
          <w:p>
            <w:pPr>
              <w:pStyle w:val="17"/>
              <w:bidi w:val="0"/>
              <w:rPr>
                <w:rFonts w:hint="eastAsia"/>
                <w:color w:val="auto"/>
              </w:rPr>
            </w:pPr>
            <w:r>
              <w:rPr>
                <w:rFonts w:hint="eastAsia"/>
                <w:color w:val="auto"/>
              </w:rPr>
              <w:t>存在项数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41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1</w:t>
            </w:r>
          </w:p>
        </w:tc>
        <w:tc>
          <w:tcPr>
            <w:tcW w:w="96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扭转不规则</w:t>
            </w:r>
          </w:p>
        </w:tc>
        <w:tc>
          <w:tcPr>
            <w:tcW w:w="2621" w:type="pct"/>
            <w:tcMar>
              <w:top w:w="0" w:type="dxa"/>
              <w:left w:w="108" w:type="dxa"/>
              <w:bottom w:w="0" w:type="dxa"/>
              <w:right w:w="108" w:type="dxa"/>
            </w:tcMar>
            <w:vAlign w:val="center"/>
          </w:tcPr>
          <w:p>
            <w:pPr>
              <w:pStyle w:val="17"/>
              <w:bidi w:val="0"/>
              <w:rPr>
                <w:rFonts w:hint="eastAsia"/>
                <w:color w:val="auto"/>
              </w:rPr>
            </w:pPr>
            <w:r>
              <w:rPr>
                <w:rFonts w:hint="eastAsia"/>
                <w:color w:val="auto"/>
              </w:rPr>
              <w:t>考虑偶然偏心的扭转位移比大于1.2</w:t>
            </w:r>
          </w:p>
        </w:tc>
        <w:tc>
          <w:tcPr>
            <w:tcW w:w="337" w:type="pct"/>
            <w:vAlign w:val="center"/>
          </w:tcPr>
          <w:p>
            <w:pPr>
              <w:pStyle w:val="17"/>
              <w:bidi w:val="0"/>
              <w:rPr>
                <w:rFonts w:hint="eastAsia"/>
                <w:color w:val="auto"/>
              </w:rPr>
            </w:pPr>
            <w:r>
              <w:rPr>
                <w:rFonts w:hint="eastAsia"/>
                <w:color w:val="auto"/>
              </w:rPr>
              <w:t>无</w:t>
            </w:r>
          </w:p>
        </w:tc>
        <w:tc>
          <w:tcPr>
            <w:tcW w:w="661" w:type="pct"/>
            <w:vMerge w:val="restar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41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2a</w:t>
            </w:r>
          </w:p>
        </w:tc>
        <w:tc>
          <w:tcPr>
            <w:tcW w:w="96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凹凸不规则</w:t>
            </w:r>
          </w:p>
        </w:tc>
        <w:tc>
          <w:tcPr>
            <w:tcW w:w="2621" w:type="pct"/>
            <w:tcMar>
              <w:top w:w="0" w:type="dxa"/>
              <w:left w:w="108" w:type="dxa"/>
              <w:bottom w:w="0" w:type="dxa"/>
              <w:right w:w="108" w:type="dxa"/>
            </w:tcMar>
            <w:vAlign w:val="center"/>
          </w:tcPr>
          <w:p>
            <w:pPr>
              <w:pStyle w:val="17"/>
              <w:bidi w:val="0"/>
              <w:rPr>
                <w:rFonts w:hint="eastAsia"/>
                <w:color w:val="auto"/>
              </w:rPr>
            </w:pPr>
            <w:r>
              <w:rPr>
                <w:rFonts w:hint="eastAsia"/>
                <w:color w:val="auto"/>
              </w:rPr>
              <w:t>平面凹凸尺寸大于相应边长30%等</w:t>
            </w:r>
          </w:p>
        </w:tc>
        <w:tc>
          <w:tcPr>
            <w:tcW w:w="337" w:type="pct"/>
            <w:vAlign w:val="center"/>
          </w:tcPr>
          <w:p>
            <w:pPr>
              <w:pStyle w:val="17"/>
              <w:bidi w:val="0"/>
              <w:rPr>
                <w:rFonts w:hint="eastAsia"/>
                <w:color w:val="auto"/>
              </w:rPr>
            </w:pPr>
            <w:r>
              <w:rPr>
                <w:rFonts w:hint="eastAsia"/>
                <w:color w:val="auto"/>
              </w:rPr>
              <w:t>无</w:t>
            </w:r>
          </w:p>
        </w:tc>
        <w:tc>
          <w:tcPr>
            <w:tcW w:w="661" w:type="pct"/>
            <w:vMerge w:val="continue"/>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41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2b</w:t>
            </w:r>
          </w:p>
        </w:tc>
        <w:tc>
          <w:tcPr>
            <w:tcW w:w="96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组合平面</w:t>
            </w:r>
          </w:p>
        </w:tc>
        <w:tc>
          <w:tcPr>
            <w:tcW w:w="2621" w:type="pct"/>
            <w:tcMar>
              <w:top w:w="0" w:type="dxa"/>
              <w:left w:w="108" w:type="dxa"/>
              <w:bottom w:w="0" w:type="dxa"/>
              <w:right w:w="108" w:type="dxa"/>
            </w:tcMar>
            <w:vAlign w:val="center"/>
          </w:tcPr>
          <w:p>
            <w:pPr>
              <w:pStyle w:val="17"/>
              <w:bidi w:val="0"/>
              <w:rPr>
                <w:rFonts w:hint="eastAsia"/>
                <w:color w:val="auto"/>
              </w:rPr>
            </w:pPr>
            <w:r>
              <w:rPr>
                <w:rFonts w:hint="eastAsia"/>
                <w:color w:val="auto"/>
              </w:rPr>
              <w:t>细腰形或角部重叠形</w:t>
            </w:r>
          </w:p>
        </w:tc>
        <w:tc>
          <w:tcPr>
            <w:tcW w:w="337" w:type="pct"/>
            <w:vAlign w:val="center"/>
          </w:tcPr>
          <w:p>
            <w:pPr>
              <w:pStyle w:val="17"/>
              <w:bidi w:val="0"/>
              <w:rPr>
                <w:rFonts w:hint="eastAsia"/>
                <w:color w:val="auto"/>
              </w:rPr>
            </w:pPr>
            <w:r>
              <w:rPr>
                <w:rFonts w:hint="eastAsia"/>
                <w:color w:val="auto"/>
              </w:rPr>
              <w:t>无</w:t>
            </w:r>
          </w:p>
        </w:tc>
        <w:tc>
          <w:tcPr>
            <w:tcW w:w="661" w:type="pct"/>
            <w:vMerge w:val="continue"/>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41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3</w:t>
            </w:r>
          </w:p>
        </w:tc>
        <w:tc>
          <w:tcPr>
            <w:tcW w:w="96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楼板不连续</w:t>
            </w:r>
          </w:p>
        </w:tc>
        <w:tc>
          <w:tcPr>
            <w:tcW w:w="2621" w:type="pct"/>
            <w:tcMar>
              <w:top w:w="0" w:type="dxa"/>
              <w:left w:w="108" w:type="dxa"/>
              <w:bottom w:w="0" w:type="dxa"/>
              <w:right w:w="108" w:type="dxa"/>
            </w:tcMar>
            <w:vAlign w:val="center"/>
          </w:tcPr>
          <w:p>
            <w:pPr>
              <w:pStyle w:val="17"/>
              <w:bidi w:val="0"/>
              <w:rPr>
                <w:rFonts w:hint="eastAsia"/>
                <w:color w:val="auto"/>
              </w:rPr>
            </w:pPr>
            <w:r>
              <w:rPr>
                <w:rFonts w:hint="eastAsia"/>
                <w:color w:val="auto"/>
              </w:rPr>
              <w:t>有效宽度小于50%，开洞面积大于30%，错层大于梁高</w:t>
            </w:r>
          </w:p>
        </w:tc>
        <w:tc>
          <w:tcPr>
            <w:tcW w:w="337" w:type="pct"/>
            <w:vAlign w:val="center"/>
          </w:tcPr>
          <w:p>
            <w:pPr>
              <w:pStyle w:val="17"/>
              <w:bidi w:val="0"/>
              <w:rPr>
                <w:rFonts w:hint="eastAsia"/>
                <w:color w:val="auto"/>
              </w:rPr>
            </w:pPr>
            <w:r>
              <w:rPr>
                <w:rFonts w:hint="eastAsia"/>
                <w:color w:val="auto"/>
              </w:rPr>
              <w:t>无</w:t>
            </w:r>
          </w:p>
        </w:tc>
        <w:tc>
          <w:tcPr>
            <w:tcW w:w="661" w:type="pct"/>
            <w:vMerge w:val="continue"/>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41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4a</w:t>
            </w:r>
          </w:p>
        </w:tc>
        <w:tc>
          <w:tcPr>
            <w:tcW w:w="96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侧向刚度不规则</w:t>
            </w:r>
          </w:p>
        </w:tc>
        <w:tc>
          <w:tcPr>
            <w:tcW w:w="2621" w:type="pct"/>
            <w:tcMar>
              <w:top w:w="0" w:type="dxa"/>
              <w:left w:w="108" w:type="dxa"/>
              <w:bottom w:w="0" w:type="dxa"/>
              <w:right w:w="108" w:type="dxa"/>
            </w:tcMar>
            <w:vAlign w:val="center"/>
          </w:tcPr>
          <w:p>
            <w:pPr>
              <w:pStyle w:val="17"/>
              <w:bidi w:val="0"/>
              <w:rPr>
                <w:rFonts w:hint="eastAsia"/>
                <w:color w:val="auto"/>
              </w:rPr>
            </w:pPr>
            <w:r>
              <w:rPr>
                <w:rFonts w:hint="eastAsia"/>
                <w:color w:val="auto"/>
              </w:rPr>
              <w:t>相邻层刚度变化大于70%或连续三层变化大于80%,</w:t>
            </w:r>
          </w:p>
        </w:tc>
        <w:tc>
          <w:tcPr>
            <w:tcW w:w="337" w:type="pct"/>
            <w:vAlign w:val="center"/>
          </w:tcPr>
          <w:p>
            <w:pPr>
              <w:pStyle w:val="17"/>
              <w:bidi w:val="0"/>
              <w:rPr>
                <w:rFonts w:hint="eastAsia"/>
                <w:color w:val="auto"/>
              </w:rPr>
            </w:pPr>
            <w:r>
              <w:rPr>
                <w:rFonts w:hint="eastAsia"/>
                <w:color w:val="auto"/>
              </w:rPr>
              <w:t>无</w:t>
            </w:r>
          </w:p>
        </w:tc>
        <w:tc>
          <w:tcPr>
            <w:tcW w:w="661" w:type="pct"/>
            <w:vMerge w:val="continue"/>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41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4b</w:t>
            </w:r>
          </w:p>
        </w:tc>
        <w:tc>
          <w:tcPr>
            <w:tcW w:w="96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尺寸突变</w:t>
            </w:r>
          </w:p>
        </w:tc>
        <w:tc>
          <w:tcPr>
            <w:tcW w:w="2621" w:type="pct"/>
            <w:tcMar>
              <w:top w:w="0" w:type="dxa"/>
              <w:left w:w="108" w:type="dxa"/>
              <w:bottom w:w="0" w:type="dxa"/>
              <w:right w:w="108" w:type="dxa"/>
            </w:tcMar>
            <w:vAlign w:val="center"/>
          </w:tcPr>
          <w:p>
            <w:pPr>
              <w:pStyle w:val="17"/>
              <w:bidi w:val="0"/>
              <w:rPr>
                <w:rFonts w:hint="eastAsia"/>
                <w:color w:val="auto"/>
              </w:rPr>
            </w:pPr>
            <w:r>
              <w:rPr>
                <w:rFonts w:hint="eastAsia"/>
                <w:color w:val="auto"/>
              </w:rPr>
              <w:t>竖向构件位置缩进大于25%或外凸大于10%和4米,多塔.</w:t>
            </w:r>
          </w:p>
        </w:tc>
        <w:tc>
          <w:tcPr>
            <w:tcW w:w="337" w:type="pct"/>
            <w:vAlign w:val="center"/>
          </w:tcPr>
          <w:p>
            <w:pPr>
              <w:pStyle w:val="17"/>
              <w:bidi w:val="0"/>
              <w:rPr>
                <w:rFonts w:hint="eastAsia"/>
                <w:color w:val="auto"/>
              </w:rPr>
            </w:pPr>
            <w:r>
              <w:rPr>
                <w:rFonts w:hint="eastAsia"/>
                <w:color w:val="auto"/>
              </w:rPr>
              <w:t>无</w:t>
            </w:r>
          </w:p>
        </w:tc>
        <w:tc>
          <w:tcPr>
            <w:tcW w:w="661" w:type="pct"/>
            <w:vMerge w:val="continue"/>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41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5</w:t>
            </w:r>
          </w:p>
        </w:tc>
        <w:tc>
          <w:tcPr>
            <w:tcW w:w="96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竖向构件不连续</w:t>
            </w:r>
          </w:p>
        </w:tc>
        <w:tc>
          <w:tcPr>
            <w:tcW w:w="2621" w:type="pct"/>
            <w:tcMar>
              <w:top w:w="0" w:type="dxa"/>
              <w:left w:w="108" w:type="dxa"/>
              <w:bottom w:w="0" w:type="dxa"/>
              <w:right w:w="108" w:type="dxa"/>
            </w:tcMar>
            <w:vAlign w:val="center"/>
          </w:tcPr>
          <w:p>
            <w:pPr>
              <w:pStyle w:val="17"/>
              <w:bidi w:val="0"/>
              <w:rPr>
                <w:rFonts w:hint="eastAsia"/>
                <w:color w:val="auto"/>
              </w:rPr>
            </w:pPr>
            <w:r>
              <w:rPr>
                <w:rFonts w:hint="eastAsia"/>
                <w:color w:val="auto"/>
              </w:rPr>
              <w:t>上下墙、柱、支撑不连续</w:t>
            </w:r>
          </w:p>
        </w:tc>
        <w:tc>
          <w:tcPr>
            <w:tcW w:w="337" w:type="pct"/>
            <w:vAlign w:val="center"/>
          </w:tcPr>
          <w:p>
            <w:pPr>
              <w:pStyle w:val="17"/>
              <w:bidi w:val="0"/>
              <w:rPr>
                <w:rFonts w:hint="eastAsia"/>
                <w:color w:val="auto"/>
              </w:rPr>
            </w:pPr>
            <w:r>
              <w:rPr>
                <w:rFonts w:hint="eastAsia"/>
                <w:color w:val="auto"/>
              </w:rPr>
              <w:t>无</w:t>
            </w:r>
          </w:p>
        </w:tc>
        <w:tc>
          <w:tcPr>
            <w:tcW w:w="661" w:type="pct"/>
            <w:vMerge w:val="continue"/>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41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6</w:t>
            </w:r>
          </w:p>
        </w:tc>
        <w:tc>
          <w:tcPr>
            <w:tcW w:w="96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承载力突变</w:t>
            </w:r>
          </w:p>
        </w:tc>
        <w:tc>
          <w:tcPr>
            <w:tcW w:w="2621" w:type="pct"/>
            <w:tcMar>
              <w:top w:w="0" w:type="dxa"/>
              <w:left w:w="108" w:type="dxa"/>
              <w:bottom w:w="0" w:type="dxa"/>
              <w:right w:w="108" w:type="dxa"/>
            </w:tcMar>
            <w:vAlign w:val="center"/>
          </w:tcPr>
          <w:p>
            <w:pPr>
              <w:pStyle w:val="17"/>
              <w:bidi w:val="0"/>
              <w:rPr>
                <w:rFonts w:hint="eastAsia"/>
                <w:color w:val="auto"/>
              </w:rPr>
            </w:pPr>
            <w:r>
              <w:rPr>
                <w:rFonts w:hint="eastAsia"/>
                <w:color w:val="auto"/>
              </w:rPr>
              <w:t>相邻层受剪承载力变化大于80%</w:t>
            </w:r>
          </w:p>
        </w:tc>
        <w:tc>
          <w:tcPr>
            <w:tcW w:w="337" w:type="pct"/>
            <w:vAlign w:val="center"/>
          </w:tcPr>
          <w:p>
            <w:pPr>
              <w:pStyle w:val="17"/>
              <w:bidi w:val="0"/>
              <w:rPr>
                <w:rFonts w:hint="eastAsia"/>
                <w:color w:val="auto"/>
              </w:rPr>
            </w:pPr>
            <w:r>
              <w:rPr>
                <w:rFonts w:hint="eastAsia"/>
                <w:color w:val="auto"/>
              </w:rPr>
              <w:t>无</w:t>
            </w:r>
          </w:p>
        </w:tc>
        <w:tc>
          <w:tcPr>
            <w:tcW w:w="661" w:type="pct"/>
            <w:vMerge w:val="continue"/>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41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7</w:t>
            </w:r>
          </w:p>
        </w:tc>
        <w:tc>
          <w:tcPr>
            <w:tcW w:w="964" w:type="pct"/>
            <w:shd w:val="clear" w:color="auto" w:fill="auto"/>
            <w:tcMar>
              <w:top w:w="0" w:type="dxa"/>
              <w:left w:w="108" w:type="dxa"/>
              <w:bottom w:w="0" w:type="dxa"/>
              <w:right w:w="108" w:type="dxa"/>
            </w:tcMar>
            <w:vAlign w:val="center"/>
          </w:tcPr>
          <w:p>
            <w:pPr>
              <w:pStyle w:val="17"/>
              <w:bidi w:val="0"/>
              <w:rPr>
                <w:rFonts w:hint="eastAsia"/>
                <w:color w:val="auto"/>
              </w:rPr>
            </w:pPr>
            <w:r>
              <w:rPr>
                <w:rFonts w:hint="eastAsia"/>
                <w:color w:val="auto"/>
              </w:rPr>
              <w:t>其它不规则</w:t>
            </w:r>
          </w:p>
        </w:tc>
        <w:tc>
          <w:tcPr>
            <w:tcW w:w="2621" w:type="pct"/>
            <w:tcMar>
              <w:top w:w="0" w:type="dxa"/>
              <w:left w:w="108" w:type="dxa"/>
              <w:bottom w:w="0" w:type="dxa"/>
              <w:right w:w="108" w:type="dxa"/>
            </w:tcMar>
            <w:vAlign w:val="center"/>
          </w:tcPr>
          <w:p>
            <w:pPr>
              <w:pStyle w:val="17"/>
              <w:bidi w:val="0"/>
              <w:rPr>
                <w:rFonts w:hint="eastAsia"/>
                <w:color w:val="auto"/>
              </w:rPr>
            </w:pPr>
            <w:r>
              <w:rPr>
                <w:rFonts w:hint="eastAsia"/>
                <w:color w:val="auto"/>
              </w:rPr>
              <w:t>如局部的穿层柱、斜柱、夹层、个别构件错层或转换</w:t>
            </w:r>
          </w:p>
        </w:tc>
        <w:tc>
          <w:tcPr>
            <w:tcW w:w="337" w:type="pct"/>
          </w:tcPr>
          <w:p>
            <w:pPr>
              <w:pStyle w:val="17"/>
              <w:bidi w:val="0"/>
              <w:rPr>
                <w:rFonts w:hint="eastAsia"/>
                <w:color w:val="auto"/>
              </w:rPr>
            </w:pPr>
            <w:r>
              <w:rPr>
                <w:rFonts w:hint="eastAsia"/>
                <w:color w:val="auto"/>
              </w:rPr>
              <w:t>无</w:t>
            </w:r>
          </w:p>
        </w:tc>
        <w:tc>
          <w:tcPr>
            <w:tcW w:w="661" w:type="pct"/>
            <w:vMerge w:val="continue"/>
          </w:tcPr>
          <w:p>
            <w:pPr>
              <w:pStyle w:val="17"/>
              <w:bidi w:val="0"/>
              <w:rPr>
                <w:rFonts w:hint="eastAsia"/>
                <w:color w:val="auto"/>
              </w:rPr>
            </w:pPr>
          </w:p>
        </w:tc>
      </w:tr>
    </w:tbl>
    <w:p>
      <w:pPr>
        <w:pStyle w:val="3"/>
        <w:bidi w:val="0"/>
        <w:rPr>
          <w:rFonts w:hint="eastAsia"/>
          <w:color w:val="auto"/>
          <w:lang w:val="en-US" w:eastAsia="zh-CN"/>
        </w:rPr>
      </w:pPr>
      <w:bookmarkStart w:id="16" w:name="_Toc30277"/>
      <w:bookmarkStart w:id="17" w:name="_Toc5147"/>
      <w:r>
        <w:rPr>
          <w:rFonts w:hint="eastAsia"/>
          <w:color w:val="auto"/>
          <w:lang w:val="en-US" w:eastAsia="zh-CN"/>
        </w:rPr>
        <w:t>主要结构材料</w:t>
      </w:r>
      <w:bookmarkEnd w:id="16"/>
      <w:bookmarkEnd w:id="17"/>
    </w:p>
    <w:p>
      <w:pPr>
        <w:bidi w:val="0"/>
        <w:rPr>
          <w:rFonts w:hint="eastAsia"/>
          <w:color w:val="auto"/>
        </w:rPr>
      </w:pPr>
      <w:r>
        <w:rPr>
          <w:rFonts w:hint="eastAsia"/>
          <w:color w:val="auto"/>
        </w:rPr>
        <w:t>1、商品混凝土强度等级：梁、板C30~C35；墙、柱C30~C40；基础:C30~C35。</w:t>
      </w:r>
    </w:p>
    <w:p>
      <w:pPr>
        <w:bidi w:val="0"/>
        <w:rPr>
          <w:rFonts w:hint="eastAsia"/>
          <w:color w:val="auto"/>
        </w:rPr>
      </w:pPr>
      <w:r>
        <w:rPr>
          <w:rFonts w:hint="eastAsia"/>
          <w:color w:val="auto"/>
        </w:rPr>
        <w:t>2、钢筋等级：HRB400E级，fy=360N/mm²。</w:t>
      </w:r>
    </w:p>
    <w:p>
      <w:pPr>
        <w:bidi w:val="0"/>
        <w:rPr>
          <w:rFonts w:hint="eastAsia"/>
          <w:color w:val="auto"/>
        </w:rPr>
      </w:pPr>
      <w:r>
        <w:rPr>
          <w:rFonts w:hint="eastAsia"/>
          <w:color w:val="auto"/>
        </w:rPr>
        <w:t>3、钢材：Q355B。</w:t>
      </w:r>
    </w:p>
    <w:p>
      <w:pPr>
        <w:bidi w:val="0"/>
        <w:rPr>
          <w:rFonts w:hint="eastAsia"/>
          <w:color w:val="auto"/>
        </w:rPr>
      </w:pPr>
      <w:r>
        <w:rPr>
          <w:rFonts w:hint="eastAsia"/>
          <w:color w:val="auto"/>
        </w:rPr>
        <w:t>4、填充墙材料：</w:t>
      </w:r>
    </w:p>
    <w:p>
      <w:pPr>
        <w:bidi w:val="0"/>
        <w:rPr>
          <w:rFonts w:hint="eastAsia"/>
          <w:color w:val="auto"/>
        </w:rPr>
      </w:pPr>
      <w:r>
        <w:rPr>
          <w:rFonts w:hint="eastAsia"/>
          <w:color w:val="auto"/>
        </w:rPr>
        <w:t>外墙及卫生间隔墙：页岩烧结多孔砖；</w:t>
      </w:r>
    </w:p>
    <w:p>
      <w:pPr>
        <w:bidi w:val="0"/>
        <w:rPr>
          <w:rFonts w:hint="eastAsia"/>
          <w:color w:val="auto"/>
        </w:rPr>
      </w:pPr>
      <w:r>
        <w:rPr>
          <w:rFonts w:hint="eastAsia"/>
          <w:color w:val="auto"/>
        </w:rPr>
        <w:t>卫生间隔墙：页岩烧结多孔砖；</w:t>
      </w:r>
    </w:p>
    <w:p>
      <w:pPr>
        <w:bidi w:val="0"/>
        <w:rPr>
          <w:rFonts w:hint="eastAsia"/>
          <w:color w:val="auto"/>
        </w:rPr>
      </w:pPr>
      <w:r>
        <w:rPr>
          <w:rFonts w:hint="eastAsia"/>
          <w:color w:val="auto"/>
        </w:rPr>
        <w:t>其它内隔墙：蒸压加气砼砌块；</w:t>
      </w:r>
    </w:p>
    <w:p>
      <w:pPr>
        <w:bidi w:val="0"/>
        <w:rPr>
          <w:rFonts w:hint="eastAsia"/>
          <w:color w:val="auto"/>
        </w:rPr>
      </w:pPr>
      <w:r>
        <w:rPr>
          <w:rFonts w:hint="eastAsia"/>
          <w:color w:val="auto"/>
        </w:rPr>
        <w:t>砂浆：±0.00以下采用M10.0水泥砂浆；</w:t>
      </w:r>
    </w:p>
    <w:p>
      <w:pPr>
        <w:bidi w:val="0"/>
        <w:rPr>
          <w:rFonts w:hint="eastAsia"/>
          <w:color w:val="auto"/>
        </w:rPr>
      </w:pPr>
      <w:bookmarkStart w:id="18" w:name="_Toc20637"/>
      <w:bookmarkStart w:id="19" w:name="_Toc22609"/>
      <w:r>
        <w:rPr>
          <w:rFonts w:hint="eastAsia"/>
          <w:color w:val="auto"/>
        </w:rPr>
        <w:t>±0.00以上采用加气砼砌块采用砌体专用商品砂浆。</w:t>
      </w:r>
    </w:p>
    <w:p>
      <w:pPr>
        <w:pStyle w:val="3"/>
        <w:bidi w:val="0"/>
        <w:rPr>
          <w:rFonts w:hint="eastAsia"/>
          <w:color w:val="auto"/>
          <w:lang w:val="en-US" w:eastAsia="zh-CN"/>
        </w:rPr>
      </w:pPr>
      <w:r>
        <w:rPr>
          <w:rFonts w:hint="eastAsia"/>
          <w:color w:val="auto"/>
          <w:lang w:val="en-US" w:eastAsia="zh-CN"/>
        </w:rPr>
        <w:t>绿色建筑</w:t>
      </w:r>
      <w:bookmarkEnd w:id="18"/>
      <w:bookmarkEnd w:id="19"/>
    </w:p>
    <w:p>
      <w:pPr>
        <w:bidi w:val="0"/>
        <w:rPr>
          <w:rFonts w:hint="eastAsia"/>
          <w:color w:val="auto"/>
          <w:lang w:val="zh-CN"/>
        </w:rPr>
      </w:pPr>
      <w:r>
        <w:rPr>
          <w:rFonts w:hint="eastAsia"/>
          <w:color w:val="auto"/>
          <w:lang w:val="zh-CN"/>
        </w:rPr>
        <w:t>1、建筑结构高强材料的运用</w:t>
      </w:r>
    </w:p>
    <w:p>
      <w:pPr>
        <w:bidi w:val="0"/>
        <w:rPr>
          <w:rFonts w:hint="eastAsia"/>
          <w:color w:val="auto"/>
          <w:lang w:val="zh-CN"/>
        </w:rPr>
      </w:pPr>
      <w:r>
        <w:rPr>
          <w:rFonts w:hint="eastAsia"/>
          <w:color w:val="auto"/>
          <w:lang w:val="zh-CN"/>
        </w:rPr>
        <w:t>（1）混凝土结构</w:t>
      </w:r>
    </w:p>
    <w:p>
      <w:pPr>
        <w:bidi w:val="0"/>
        <w:rPr>
          <w:rFonts w:hint="eastAsia"/>
          <w:color w:val="auto"/>
          <w:spacing w:val="-20"/>
          <w:sz w:val="30"/>
        </w:rPr>
      </w:pPr>
      <w:r>
        <w:rPr>
          <w:rFonts w:hint="eastAsia"/>
          <w:color w:val="auto"/>
          <w:spacing w:val="-20"/>
          <w:sz w:val="30"/>
          <w:lang w:val="zh-CN"/>
        </w:rPr>
        <w:t>高强</w:t>
      </w:r>
      <w:r>
        <w:rPr>
          <w:rFonts w:hint="eastAsia"/>
          <w:color w:val="auto"/>
          <w:spacing w:val="-20"/>
          <w:sz w:val="30"/>
        </w:rPr>
        <w:t>度</w:t>
      </w:r>
      <w:r>
        <w:rPr>
          <w:rFonts w:hint="eastAsia"/>
          <w:color w:val="auto"/>
          <w:spacing w:val="-20"/>
          <w:sz w:val="30"/>
          <w:lang w:val="zh-CN"/>
        </w:rPr>
        <w:t>钢筋：</w:t>
      </w:r>
      <w:r>
        <w:rPr>
          <w:rFonts w:hint="eastAsia"/>
          <w:color w:val="auto"/>
          <w:spacing w:val="-20"/>
          <w:sz w:val="30"/>
        </w:rPr>
        <w:t>除圈梁、过梁、构造柱外其余均采用</w:t>
      </w:r>
      <w:r>
        <w:rPr>
          <w:rFonts w:hint="eastAsia"/>
          <w:color w:val="auto"/>
          <w:spacing w:val="-20"/>
          <w:sz w:val="30"/>
          <w:lang w:val="zh-CN"/>
        </w:rPr>
        <w:t>HRB400</w:t>
      </w:r>
      <w:r>
        <w:rPr>
          <w:rFonts w:hint="eastAsia"/>
          <w:color w:val="auto"/>
          <w:spacing w:val="-20"/>
          <w:sz w:val="30"/>
        </w:rPr>
        <w:t>级钢筋。</w:t>
      </w:r>
    </w:p>
    <w:p>
      <w:pPr>
        <w:bidi w:val="0"/>
        <w:rPr>
          <w:rFonts w:hint="eastAsia"/>
          <w:color w:val="auto"/>
          <w:lang w:val="zh-CN"/>
        </w:rPr>
      </w:pPr>
      <w:r>
        <w:rPr>
          <w:rFonts w:hint="eastAsia"/>
          <w:color w:val="auto"/>
          <w:lang w:val="zh-CN"/>
        </w:rPr>
        <w:t>2、高耐久性建筑结构材料的运用</w:t>
      </w:r>
    </w:p>
    <w:p>
      <w:pPr>
        <w:bidi w:val="0"/>
        <w:rPr>
          <w:rFonts w:hint="eastAsia"/>
          <w:color w:val="auto"/>
          <w:lang w:val="zh-CN"/>
        </w:rPr>
      </w:pPr>
      <w:r>
        <w:rPr>
          <w:rFonts w:hint="eastAsia"/>
          <w:color w:val="auto"/>
          <w:lang w:val="zh-CN"/>
        </w:rPr>
        <w:t>（1）混凝土结构</w:t>
      </w:r>
    </w:p>
    <w:p>
      <w:pPr>
        <w:bidi w:val="0"/>
        <w:rPr>
          <w:rFonts w:hint="eastAsia"/>
          <w:color w:val="auto"/>
          <w:lang w:val="zh-CN"/>
        </w:rPr>
      </w:pPr>
      <w:r>
        <w:rPr>
          <w:rFonts w:hint="eastAsia"/>
          <w:color w:val="auto"/>
          <w:lang w:val="zh-CN"/>
        </w:rPr>
        <w:t>保证高耐久性的混凝土技术措施如下：</w:t>
      </w:r>
    </w:p>
    <w:p>
      <w:pPr>
        <w:bidi w:val="0"/>
        <w:rPr>
          <w:rFonts w:hint="eastAsia"/>
          <w:color w:val="auto"/>
          <w:lang w:val="zh-CN"/>
        </w:rPr>
      </w:pPr>
      <w:r>
        <w:rPr>
          <w:rFonts w:hint="eastAsia"/>
          <w:color w:val="auto"/>
          <w:lang w:val="zh-CN"/>
        </w:rPr>
        <w:t>措施一、在混凝土中掺入高效减水剂和外掺料，用以降低用水量和水灰比，降低水化热，增加结构的致密性和稳定性，从而使混凝土具有高耐久性。</w:t>
      </w:r>
    </w:p>
    <w:p>
      <w:pPr>
        <w:bidi w:val="0"/>
        <w:rPr>
          <w:rFonts w:hint="eastAsia"/>
          <w:color w:val="auto"/>
          <w:lang w:val="zh-CN"/>
        </w:rPr>
      </w:pPr>
      <w:r>
        <w:rPr>
          <w:rFonts w:hint="eastAsia"/>
          <w:color w:val="auto"/>
          <w:lang w:val="zh-CN"/>
        </w:rPr>
        <w:t>措施二、改善外部环境：避免</w:t>
      </w:r>
    </w:p>
    <w:p>
      <w:pPr>
        <w:bidi w:val="0"/>
        <w:rPr>
          <w:rFonts w:hint="eastAsia"/>
          <w:color w:val="auto"/>
          <w:lang w:val="zh-CN"/>
        </w:rPr>
      </w:pPr>
      <w:r>
        <w:rPr>
          <w:rFonts w:hint="eastAsia"/>
          <w:color w:val="auto"/>
          <w:lang w:val="zh-CN"/>
        </w:rPr>
        <w:t>①冻溶循环作用</w:t>
      </w:r>
    </w:p>
    <w:p>
      <w:pPr>
        <w:bidi w:val="0"/>
        <w:rPr>
          <w:rFonts w:hint="eastAsia"/>
          <w:color w:val="auto"/>
          <w:lang w:val="zh-CN"/>
        </w:rPr>
      </w:pPr>
      <w:r>
        <w:rPr>
          <w:rFonts w:hint="eastAsia"/>
          <w:color w:val="auto"/>
          <w:lang w:val="zh-CN"/>
        </w:rPr>
        <w:t>②钢筋锈蚀作用</w:t>
      </w:r>
    </w:p>
    <w:p>
      <w:pPr>
        <w:bidi w:val="0"/>
        <w:rPr>
          <w:rFonts w:hint="eastAsia"/>
          <w:color w:val="auto"/>
          <w:lang w:val="zh-CN"/>
        </w:rPr>
      </w:pPr>
      <w:r>
        <w:rPr>
          <w:rFonts w:hint="eastAsia"/>
          <w:color w:val="auto"/>
          <w:lang w:val="zh-CN"/>
        </w:rPr>
        <w:t>③碳酸盐的作用</w:t>
      </w:r>
    </w:p>
    <w:p>
      <w:pPr>
        <w:bidi w:val="0"/>
        <w:rPr>
          <w:rFonts w:hint="eastAsia"/>
          <w:color w:val="auto"/>
          <w:lang w:val="zh-CN"/>
        </w:rPr>
      </w:pPr>
      <w:r>
        <w:rPr>
          <w:rFonts w:hint="eastAsia"/>
          <w:color w:val="auto"/>
          <w:lang w:val="zh-CN"/>
        </w:rPr>
        <w:t>④淡水溶蚀作用</w:t>
      </w:r>
    </w:p>
    <w:p>
      <w:pPr>
        <w:bidi w:val="0"/>
        <w:rPr>
          <w:rFonts w:hint="eastAsia"/>
          <w:color w:val="auto"/>
          <w:lang w:val="zh-CN"/>
        </w:rPr>
      </w:pPr>
      <w:r>
        <w:rPr>
          <w:rFonts w:hint="eastAsia"/>
          <w:color w:val="auto"/>
          <w:lang w:val="zh-CN"/>
        </w:rPr>
        <w:t>⑤盐类侵蚀作用</w:t>
      </w:r>
    </w:p>
    <w:p>
      <w:pPr>
        <w:bidi w:val="0"/>
        <w:rPr>
          <w:rFonts w:hint="eastAsia"/>
          <w:color w:val="auto"/>
          <w:lang w:val="zh-CN"/>
        </w:rPr>
      </w:pPr>
      <w:r>
        <w:rPr>
          <w:rFonts w:hint="eastAsia"/>
          <w:color w:val="auto"/>
          <w:lang w:val="zh-CN"/>
        </w:rPr>
        <w:t>⑥碱-集料反应</w:t>
      </w:r>
    </w:p>
    <w:p>
      <w:pPr>
        <w:bidi w:val="0"/>
        <w:rPr>
          <w:rFonts w:hint="eastAsia"/>
          <w:color w:val="auto"/>
          <w:lang w:val="zh-CN"/>
        </w:rPr>
      </w:pPr>
      <w:r>
        <w:rPr>
          <w:rFonts w:hint="eastAsia"/>
          <w:color w:val="auto"/>
          <w:lang w:val="zh-CN"/>
        </w:rPr>
        <w:t>⑦酸碱腐蚀作用</w:t>
      </w:r>
    </w:p>
    <w:p>
      <w:pPr>
        <w:bidi w:val="0"/>
        <w:rPr>
          <w:rFonts w:hint="eastAsia"/>
          <w:color w:val="auto"/>
          <w:lang w:val="zh-CN"/>
        </w:rPr>
      </w:pPr>
      <w:r>
        <w:rPr>
          <w:rFonts w:hint="eastAsia"/>
          <w:color w:val="auto"/>
          <w:lang w:val="zh-CN"/>
        </w:rPr>
        <w:t>⑧冲击、磨损等作用。</w:t>
      </w:r>
    </w:p>
    <w:p>
      <w:pPr>
        <w:bidi w:val="0"/>
        <w:rPr>
          <w:rFonts w:hint="eastAsia"/>
          <w:color w:val="auto"/>
          <w:lang w:val="zh-CN"/>
        </w:rPr>
      </w:pPr>
      <w:r>
        <w:rPr>
          <w:rFonts w:hint="eastAsia"/>
          <w:color w:val="auto"/>
          <w:lang w:val="zh-CN"/>
        </w:rPr>
        <w:t>3、混凝土</w:t>
      </w:r>
    </w:p>
    <w:p>
      <w:pPr>
        <w:bidi w:val="0"/>
        <w:rPr>
          <w:rFonts w:hint="eastAsia"/>
          <w:color w:val="auto"/>
          <w:lang w:val="zh-CN"/>
        </w:rPr>
      </w:pPr>
      <w:r>
        <w:rPr>
          <w:rFonts w:hint="eastAsia"/>
          <w:color w:val="auto"/>
          <w:lang w:val="zh-CN"/>
        </w:rPr>
        <w:t>本工程现浇混凝土均采用预拌混凝土。</w:t>
      </w:r>
    </w:p>
    <w:p>
      <w:pPr>
        <w:pStyle w:val="2"/>
        <w:bidi w:val="0"/>
        <w:rPr>
          <w:rFonts w:asciiTheme="minorHAnsi" w:hAnsiTheme="minorHAnsi"/>
          <w:color w:val="auto"/>
        </w:rPr>
      </w:pPr>
      <w:r>
        <w:rPr>
          <w:rFonts w:hint="eastAsia"/>
          <w:color w:val="auto"/>
          <w:lang w:val="zh-CN"/>
        </w:rPr>
        <w:br w:type="column"/>
      </w:r>
      <w:r>
        <w:rPr>
          <w:rFonts w:hint="eastAsia" w:asciiTheme="minorHAnsi" w:hAnsiTheme="minorHAnsi"/>
          <w:color w:val="auto"/>
        </w:rPr>
        <w:t>给排水设计说明</w:t>
      </w:r>
    </w:p>
    <w:p>
      <w:pPr>
        <w:pStyle w:val="3"/>
        <w:bidi w:val="0"/>
        <w:rPr>
          <w:color w:val="auto"/>
          <w:lang w:val="en-US" w:eastAsia="zh-CN"/>
        </w:rPr>
      </w:pPr>
      <w:r>
        <w:rPr>
          <w:rFonts w:hint="eastAsia"/>
          <w:color w:val="auto"/>
          <w:lang w:val="en-US" w:eastAsia="zh-CN"/>
        </w:rPr>
        <w:t>设计依据</w:t>
      </w:r>
    </w:p>
    <w:p>
      <w:pPr>
        <w:bidi w:val="0"/>
        <w:rPr>
          <w:color w:val="auto"/>
        </w:rPr>
      </w:pPr>
      <w:r>
        <w:rPr>
          <w:rFonts w:hint="eastAsia"/>
          <w:color w:val="auto"/>
        </w:rPr>
        <w:t>1、建设方提供的设计任务书和有关资料。</w:t>
      </w:r>
    </w:p>
    <w:p>
      <w:pPr>
        <w:bidi w:val="0"/>
        <w:rPr>
          <w:color w:val="auto"/>
        </w:rPr>
      </w:pPr>
      <w:r>
        <w:rPr>
          <w:rFonts w:hint="eastAsia"/>
          <w:color w:val="auto"/>
        </w:rPr>
        <w:t>2、国家现行的设计规范、规程：</w:t>
      </w:r>
    </w:p>
    <w:p>
      <w:pPr>
        <w:bidi w:val="0"/>
        <w:rPr>
          <w:color w:val="auto"/>
        </w:rPr>
      </w:pPr>
      <w:r>
        <w:rPr>
          <w:rFonts w:hint="eastAsia"/>
          <w:color w:val="auto"/>
        </w:rPr>
        <w:t>《建筑设计防火规范》GB50016-2014（2018版）；</w:t>
      </w:r>
    </w:p>
    <w:p>
      <w:pPr>
        <w:bidi w:val="0"/>
        <w:rPr>
          <w:color w:val="auto"/>
        </w:rPr>
      </w:pPr>
      <w:r>
        <w:rPr>
          <w:rFonts w:hint="eastAsia"/>
          <w:color w:val="auto"/>
        </w:rPr>
        <w:t>《建筑防火通用规范》55037-2022；</w:t>
      </w:r>
    </w:p>
    <w:p>
      <w:pPr>
        <w:bidi w:val="0"/>
        <w:rPr>
          <w:color w:val="auto"/>
        </w:rPr>
      </w:pPr>
      <w:r>
        <w:rPr>
          <w:rFonts w:hint="eastAsia"/>
          <w:color w:val="auto"/>
        </w:rPr>
        <w:t>《无障碍设计规范》（GB50763-2012）；</w:t>
      </w:r>
    </w:p>
    <w:p>
      <w:pPr>
        <w:bidi w:val="0"/>
        <w:rPr>
          <w:color w:val="auto"/>
        </w:rPr>
      </w:pPr>
      <w:r>
        <w:rPr>
          <w:rFonts w:hint="eastAsia"/>
          <w:color w:val="auto"/>
        </w:rPr>
        <w:t>《民用建筑隔声设计规范》（GB50118-2010）；</w:t>
      </w:r>
    </w:p>
    <w:p>
      <w:pPr>
        <w:bidi w:val="0"/>
        <w:rPr>
          <w:color w:val="auto"/>
        </w:rPr>
      </w:pPr>
      <w:r>
        <w:rPr>
          <w:rFonts w:hint="eastAsia"/>
          <w:color w:val="auto"/>
        </w:rPr>
        <w:t>《公共建筑节能设计标准》（GB50189-2015）；</w:t>
      </w:r>
    </w:p>
    <w:p>
      <w:pPr>
        <w:bidi w:val="0"/>
        <w:rPr>
          <w:color w:val="auto"/>
        </w:rPr>
      </w:pPr>
      <w:r>
        <w:rPr>
          <w:rFonts w:hint="eastAsia"/>
          <w:color w:val="auto"/>
        </w:rPr>
        <w:t>《工业建筑节能设计统一标准》（GB51245-2017）</w:t>
      </w:r>
    </w:p>
    <w:p>
      <w:pPr>
        <w:bidi w:val="0"/>
        <w:rPr>
          <w:color w:val="auto"/>
        </w:rPr>
      </w:pPr>
      <w:r>
        <w:rPr>
          <w:rFonts w:hint="eastAsia"/>
          <w:color w:val="auto"/>
        </w:rPr>
        <w:t>《室外给水设计标准》(GB50013-2018)</w:t>
      </w:r>
    </w:p>
    <w:p>
      <w:pPr>
        <w:bidi w:val="0"/>
        <w:rPr>
          <w:color w:val="auto"/>
        </w:rPr>
      </w:pPr>
      <w:r>
        <w:rPr>
          <w:rFonts w:hint="eastAsia"/>
          <w:color w:val="auto"/>
        </w:rPr>
        <w:t>《室外排水设计标准》(GB50014-2021)</w:t>
      </w:r>
    </w:p>
    <w:p>
      <w:pPr>
        <w:bidi w:val="0"/>
        <w:rPr>
          <w:color w:val="auto"/>
        </w:rPr>
      </w:pPr>
      <w:r>
        <w:rPr>
          <w:rFonts w:hint="eastAsia"/>
          <w:color w:val="auto"/>
        </w:rPr>
        <w:t>《汽车库、停车库、停车场设计防火规范》（GB50067-2014）</w:t>
      </w:r>
    </w:p>
    <w:p>
      <w:pPr>
        <w:bidi w:val="0"/>
        <w:rPr>
          <w:color w:val="auto"/>
        </w:rPr>
      </w:pPr>
      <w:r>
        <w:rPr>
          <w:rFonts w:hint="eastAsia"/>
          <w:color w:val="auto"/>
        </w:rPr>
        <w:t>《建筑给水排水设计标准》(GB50015-2019)2018年版</w:t>
      </w:r>
    </w:p>
    <w:p>
      <w:pPr>
        <w:bidi w:val="0"/>
        <w:rPr>
          <w:color w:val="auto"/>
        </w:rPr>
      </w:pPr>
      <w:r>
        <w:rPr>
          <w:rFonts w:hint="eastAsia"/>
          <w:color w:val="auto"/>
        </w:rPr>
        <w:t>《消防给水及消火栓系统技术规范》(GB50974-2014)</w:t>
      </w:r>
    </w:p>
    <w:p>
      <w:pPr>
        <w:bidi w:val="0"/>
        <w:rPr>
          <w:color w:val="auto"/>
        </w:rPr>
      </w:pPr>
      <w:r>
        <w:rPr>
          <w:rFonts w:hint="eastAsia"/>
          <w:color w:val="auto"/>
        </w:rPr>
        <w:t>《建筑灭火器配置设计规范》(GB50140-2005)</w:t>
      </w:r>
    </w:p>
    <w:p>
      <w:pPr>
        <w:bidi w:val="0"/>
        <w:rPr>
          <w:color w:val="auto"/>
        </w:rPr>
      </w:pPr>
      <w:r>
        <w:rPr>
          <w:rFonts w:hint="eastAsia"/>
          <w:color w:val="auto"/>
        </w:rPr>
        <w:t>《气体灭火系统设计规范》(GB50370-2005)</w:t>
      </w:r>
    </w:p>
    <w:p>
      <w:pPr>
        <w:bidi w:val="0"/>
        <w:rPr>
          <w:color w:val="auto"/>
        </w:rPr>
      </w:pPr>
      <w:r>
        <w:rPr>
          <w:rFonts w:hint="eastAsia"/>
          <w:color w:val="auto"/>
        </w:rPr>
        <w:t>《城镇给水排水技术规范》(GB50788-2012)</w:t>
      </w:r>
    </w:p>
    <w:p>
      <w:pPr>
        <w:bidi w:val="0"/>
        <w:rPr>
          <w:color w:val="auto"/>
        </w:rPr>
      </w:pPr>
      <w:r>
        <w:rPr>
          <w:rFonts w:hint="eastAsia"/>
          <w:color w:val="auto"/>
        </w:rPr>
        <w:t>《节水型生活用水器具》(CJ/T164-2014)</w:t>
      </w:r>
    </w:p>
    <w:p>
      <w:pPr>
        <w:bidi w:val="0"/>
        <w:rPr>
          <w:color w:val="auto"/>
        </w:rPr>
      </w:pPr>
      <w:r>
        <w:rPr>
          <w:rFonts w:hint="eastAsia"/>
          <w:color w:val="auto"/>
        </w:rPr>
        <w:t>《民用建筑节水设计标准》(GB50555-2010)</w:t>
      </w:r>
    </w:p>
    <w:p>
      <w:pPr>
        <w:bidi w:val="0"/>
        <w:rPr>
          <w:color w:val="auto"/>
        </w:rPr>
      </w:pPr>
      <w:r>
        <w:rPr>
          <w:rFonts w:hint="eastAsia"/>
          <w:color w:val="auto"/>
        </w:rPr>
        <w:t>《二次供水设施卫生规范》(GB17051-1997)</w:t>
      </w:r>
    </w:p>
    <w:p>
      <w:pPr>
        <w:bidi w:val="0"/>
        <w:rPr>
          <w:color w:val="auto"/>
        </w:rPr>
      </w:pPr>
      <w:r>
        <w:rPr>
          <w:rFonts w:hint="eastAsia"/>
          <w:color w:val="auto"/>
        </w:rPr>
        <w:t>《建筑机电工程抗震设计规范》(GB50981-2014)</w:t>
      </w:r>
    </w:p>
    <w:p>
      <w:pPr>
        <w:bidi w:val="0"/>
        <w:rPr>
          <w:color w:val="auto"/>
        </w:rPr>
      </w:pPr>
      <w:r>
        <w:rPr>
          <w:rFonts w:hint="eastAsia"/>
          <w:color w:val="auto"/>
        </w:rPr>
        <w:t>《工程建设标准强制性条文》(房屋建筑部分)2013年版</w:t>
      </w:r>
    </w:p>
    <w:p>
      <w:pPr>
        <w:bidi w:val="0"/>
        <w:rPr>
          <w:color w:val="auto"/>
        </w:rPr>
      </w:pPr>
      <w:r>
        <w:rPr>
          <w:rFonts w:hint="eastAsia"/>
          <w:color w:val="auto"/>
        </w:rPr>
        <w:t>《湖南省绿色建筑评价标准》(DBJ43/T314-2015)</w:t>
      </w:r>
    </w:p>
    <w:p>
      <w:pPr>
        <w:bidi w:val="0"/>
        <w:rPr>
          <w:color w:val="auto"/>
        </w:rPr>
      </w:pPr>
      <w:r>
        <w:rPr>
          <w:rFonts w:hint="eastAsia"/>
          <w:color w:val="auto"/>
        </w:rPr>
        <w:t>《湖南省居住建筑节能设计标准》(DBJ43/001-2017)</w:t>
      </w:r>
    </w:p>
    <w:p>
      <w:pPr>
        <w:bidi w:val="0"/>
        <w:rPr>
          <w:color w:val="auto"/>
        </w:rPr>
      </w:pPr>
      <w:r>
        <w:rPr>
          <w:rFonts w:hint="eastAsia"/>
          <w:color w:val="auto"/>
        </w:rPr>
        <w:t>《湖南省公共建筑节能设计标准》(DBJ43/003-2017)</w:t>
      </w:r>
    </w:p>
    <w:p>
      <w:pPr>
        <w:bidi w:val="0"/>
        <w:rPr>
          <w:color w:val="auto"/>
        </w:rPr>
      </w:pPr>
      <w:r>
        <w:rPr>
          <w:rFonts w:hint="eastAsia"/>
          <w:color w:val="auto"/>
        </w:rPr>
        <w:t>《建筑与市政工程无障碍通用规范》(GB55019-2021)</w:t>
      </w:r>
    </w:p>
    <w:p>
      <w:pPr>
        <w:bidi w:val="0"/>
        <w:rPr>
          <w:color w:val="auto"/>
        </w:rPr>
      </w:pPr>
      <w:r>
        <w:rPr>
          <w:rFonts w:hint="eastAsia"/>
          <w:color w:val="auto"/>
        </w:rPr>
        <w:t>《建筑与市政防水通用规范》(GB55030-2022)</w:t>
      </w:r>
    </w:p>
    <w:p>
      <w:pPr>
        <w:bidi w:val="0"/>
        <w:rPr>
          <w:color w:val="auto"/>
        </w:rPr>
      </w:pPr>
      <w:r>
        <w:rPr>
          <w:rFonts w:hint="eastAsia"/>
          <w:color w:val="auto"/>
        </w:rPr>
        <w:t>《办公建筑设计规范》（JGJ67-2019）；</w:t>
      </w:r>
    </w:p>
    <w:p>
      <w:pPr>
        <w:bidi w:val="0"/>
        <w:rPr>
          <w:color w:val="auto"/>
        </w:rPr>
      </w:pPr>
      <w:r>
        <w:rPr>
          <w:rFonts w:hint="eastAsia"/>
          <w:color w:val="auto"/>
        </w:rPr>
        <w:t>《宿舍建筑设计规范》（JGJ36-2016）；</w:t>
      </w:r>
    </w:p>
    <w:p>
      <w:pPr>
        <w:bidi w:val="0"/>
        <w:rPr>
          <w:color w:val="auto"/>
        </w:rPr>
      </w:pPr>
      <w:r>
        <w:rPr>
          <w:rFonts w:hint="eastAsia"/>
          <w:color w:val="auto"/>
        </w:rPr>
        <w:t>《宿舍、旅馆建筑项目规范》（GB55025-2021）；</w:t>
      </w:r>
    </w:p>
    <w:p>
      <w:pPr>
        <w:bidi w:val="0"/>
        <w:rPr>
          <w:color w:val="auto"/>
        </w:rPr>
      </w:pPr>
      <w:r>
        <w:rPr>
          <w:rFonts w:hint="eastAsia"/>
          <w:color w:val="auto"/>
        </w:rPr>
        <w:t>《</w:t>
      </w:r>
      <w:r>
        <w:rPr>
          <w:color w:val="auto"/>
        </w:rPr>
        <w:t>建筑给水排水与节水通用规范</w:t>
      </w:r>
      <w:r>
        <w:rPr>
          <w:rFonts w:hint="eastAsia"/>
          <w:color w:val="auto"/>
        </w:rPr>
        <w:t>》</w:t>
      </w:r>
      <w:r>
        <w:rPr>
          <w:color w:val="auto"/>
        </w:rPr>
        <w:t xml:space="preserve"> </w:t>
      </w:r>
      <w:r>
        <w:rPr>
          <w:rFonts w:hint="eastAsia"/>
          <w:color w:val="auto"/>
        </w:rPr>
        <w:t>（</w:t>
      </w:r>
      <w:r>
        <w:rPr>
          <w:color w:val="auto"/>
        </w:rPr>
        <w:t>GB55020-2021</w:t>
      </w:r>
      <w:r>
        <w:rPr>
          <w:rFonts w:hint="eastAsia"/>
          <w:color w:val="auto"/>
        </w:rPr>
        <w:t>）；</w:t>
      </w:r>
    </w:p>
    <w:p>
      <w:pPr>
        <w:bidi w:val="0"/>
        <w:rPr>
          <w:color w:val="auto"/>
        </w:rPr>
      </w:pPr>
      <w:r>
        <w:rPr>
          <w:rFonts w:hint="eastAsia"/>
          <w:color w:val="auto"/>
        </w:rPr>
        <w:t>《</w:t>
      </w:r>
      <w:r>
        <w:rPr>
          <w:color w:val="auto"/>
        </w:rPr>
        <w:t>消防设施通用规范</w:t>
      </w:r>
      <w:r>
        <w:rPr>
          <w:rFonts w:hint="eastAsia"/>
          <w:color w:val="auto"/>
        </w:rPr>
        <w:t>》</w:t>
      </w:r>
      <w:r>
        <w:rPr>
          <w:color w:val="auto"/>
        </w:rPr>
        <w:t xml:space="preserve"> </w:t>
      </w:r>
      <w:r>
        <w:rPr>
          <w:rFonts w:hint="eastAsia"/>
          <w:color w:val="auto"/>
        </w:rPr>
        <w:t>（</w:t>
      </w:r>
      <w:r>
        <w:rPr>
          <w:color w:val="auto"/>
        </w:rPr>
        <w:t>GB55036-2022</w:t>
      </w:r>
      <w:r>
        <w:rPr>
          <w:rFonts w:hint="eastAsia"/>
          <w:color w:val="auto"/>
        </w:rPr>
        <w:t>）；</w:t>
      </w:r>
    </w:p>
    <w:p>
      <w:pPr>
        <w:bidi w:val="0"/>
        <w:rPr>
          <w:rFonts w:hint="eastAsia"/>
          <w:color w:val="auto"/>
        </w:rPr>
      </w:pPr>
      <w:r>
        <w:rPr>
          <w:rFonts w:hint="eastAsia"/>
          <w:color w:val="auto"/>
        </w:rPr>
        <w:t>《建筑防火通用规范》（GB55037-2022）；</w:t>
      </w:r>
    </w:p>
    <w:p>
      <w:pPr>
        <w:bidi w:val="0"/>
        <w:rPr>
          <w:color w:val="auto"/>
        </w:rPr>
      </w:pPr>
      <w:r>
        <w:rPr>
          <w:rFonts w:hint="eastAsia"/>
          <w:color w:val="auto"/>
        </w:rPr>
        <w:t>3、本公司建筑、结构、采暖空调、电气和总图等专业提供的条件图和设计资料。</w:t>
      </w:r>
    </w:p>
    <w:p>
      <w:pPr>
        <w:pStyle w:val="3"/>
        <w:bidi w:val="0"/>
        <w:rPr>
          <w:color w:val="auto"/>
          <w:lang w:val="en-US" w:eastAsia="zh-CN"/>
        </w:rPr>
      </w:pPr>
      <w:r>
        <w:rPr>
          <w:rFonts w:hint="eastAsia"/>
          <w:color w:val="auto"/>
          <w:lang w:val="en-US" w:eastAsia="zh-CN"/>
        </w:rPr>
        <w:t>工程概况</w:t>
      </w:r>
    </w:p>
    <w:p>
      <w:pPr>
        <w:bidi w:val="0"/>
        <w:rPr>
          <w:color w:val="auto"/>
        </w:rPr>
      </w:pPr>
      <w:r>
        <w:rPr>
          <w:rFonts w:hint="eastAsia"/>
          <w:color w:val="auto"/>
        </w:rPr>
        <w:t>本次</w:t>
      </w:r>
      <w:r>
        <w:rPr>
          <w:color w:val="auto"/>
        </w:rPr>
        <w:t>建设内容：</w:t>
      </w:r>
      <w:r>
        <w:rPr>
          <w:rFonts w:hint="eastAsia"/>
          <w:color w:val="auto"/>
        </w:rPr>
        <w:t>门卫室4</w:t>
      </w:r>
      <w:r>
        <w:rPr>
          <w:color w:val="auto"/>
        </w:rPr>
        <w:t>8㎡</w:t>
      </w:r>
      <w:r>
        <w:rPr>
          <w:rFonts w:hint="eastAsia"/>
          <w:color w:val="auto"/>
        </w:rPr>
        <w:t>，设备用房</w:t>
      </w:r>
      <w:r>
        <w:rPr>
          <w:rFonts w:hint="eastAsia"/>
          <w:color w:val="auto"/>
          <w:lang w:eastAsia="zh-CN"/>
        </w:rPr>
        <w:t>190.00</w:t>
      </w:r>
      <w:r>
        <w:rPr>
          <w:color w:val="auto"/>
        </w:rPr>
        <w:t>㎡</w:t>
      </w:r>
      <w:r>
        <w:rPr>
          <w:rFonts w:hint="eastAsia"/>
          <w:color w:val="auto"/>
        </w:rPr>
        <w:t>，</w:t>
      </w:r>
      <w:r>
        <w:rPr>
          <w:color w:val="auto"/>
        </w:rPr>
        <w:t>1#</w:t>
      </w:r>
      <w:r>
        <w:rPr>
          <w:rFonts w:hint="eastAsia"/>
          <w:color w:val="auto"/>
        </w:rPr>
        <w:t>办公楼2</w:t>
      </w:r>
      <w:r>
        <w:rPr>
          <w:color w:val="auto"/>
        </w:rPr>
        <w:t>409㎡</w:t>
      </w:r>
      <w:r>
        <w:rPr>
          <w:rFonts w:hint="eastAsia"/>
          <w:color w:val="auto"/>
        </w:rPr>
        <w:t>,2</w:t>
      </w:r>
      <w:r>
        <w:rPr>
          <w:color w:val="auto"/>
        </w:rPr>
        <w:t>#</w:t>
      </w:r>
      <w:r>
        <w:rPr>
          <w:rFonts w:hint="eastAsia"/>
          <w:color w:val="auto"/>
        </w:rPr>
        <w:t>宿舍3</w:t>
      </w:r>
      <w:r>
        <w:rPr>
          <w:color w:val="auto"/>
        </w:rPr>
        <w:t>683.24㎡</w:t>
      </w:r>
      <w:r>
        <w:rPr>
          <w:rFonts w:hint="eastAsia"/>
          <w:color w:val="auto"/>
        </w:rPr>
        <w:t>，</w:t>
      </w:r>
      <w:r>
        <w:rPr>
          <w:color w:val="auto"/>
        </w:rPr>
        <w:t>3#</w:t>
      </w:r>
      <w:r>
        <w:rPr>
          <w:rFonts w:hint="eastAsia"/>
          <w:color w:val="auto"/>
        </w:rPr>
        <w:t>厂房</w:t>
      </w:r>
      <w:r>
        <w:rPr>
          <w:rFonts w:hint="eastAsia"/>
          <w:color w:val="auto"/>
          <w:lang w:eastAsia="zh-CN"/>
        </w:rPr>
        <w:t>6904.96</w:t>
      </w:r>
      <w:r>
        <w:rPr>
          <w:color w:val="auto"/>
        </w:rPr>
        <w:t>㎡</w:t>
      </w:r>
      <w:r>
        <w:rPr>
          <w:rFonts w:hint="eastAsia"/>
          <w:color w:val="auto"/>
        </w:rPr>
        <w:t>，</w:t>
      </w:r>
      <w:r>
        <w:rPr>
          <w:color w:val="auto"/>
        </w:rPr>
        <w:t>4~6#</w:t>
      </w:r>
      <w:r>
        <w:rPr>
          <w:rFonts w:hint="eastAsia"/>
          <w:color w:val="auto"/>
        </w:rPr>
        <w:t>厂房</w:t>
      </w:r>
      <w:r>
        <w:rPr>
          <w:color w:val="auto"/>
        </w:rPr>
        <w:t>10683.0㎡，停车位</w:t>
      </w:r>
      <w:r>
        <w:rPr>
          <w:rFonts w:hint="eastAsia"/>
          <w:color w:val="auto"/>
          <w:lang w:eastAsia="zh-CN"/>
        </w:rPr>
        <w:t>101</w:t>
      </w:r>
      <w:r>
        <w:rPr>
          <w:color w:val="auto"/>
        </w:rPr>
        <w:t>个，其中地面小车位</w:t>
      </w:r>
      <w:r>
        <w:rPr>
          <w:rFonts w:hint="eastAsia"/>
          <w:color w:val="auto"/>
          <w:lang w:eastAsia="zh-CN"/>
        </w:rPr>
        <w:t>66</w:t>
      </w:r>
      <w:r>
        <w:rPr>
          <w:color w:val="auto"/>
        </w:rPr>
        <w:t>个(</w:t>
      </w:r>
      <w:r>
        <w:rPr>
          <w:rFonts w:hint="eastAsia"/>
          <w:color w:val="auto"/>
        </w:rPr>
        <w:t>含小车位9</w:t>
      </w:r>
      <w:r>
        <w:rPr>
          <w:color w:val="auto"/>
        </w:rPr>
        <w:t>8</w:t>
      </w:r>
      <w:r>
        <w:rPr>
          <w:rFonts w:hint="eastAsia"/>
          <w:color w:val="auto"/>
        </w:rPr>
        <w:t>个，</w:t>
      </w:r>
      <w:r>
        <w:rPr>
          <w:color w:val="auto"/>
        </w:rPr>
        <w:t>含</w:t>
      </w:r>
      <w:r>
        <w:rPr>
          <w:rFonts w:hint="eastAsia"/>
          <w:color w:val="auto"/>
          <w:lang w:eastAsia="zh-CN"/>
        </w:rPr>
        <w:t>21</w:t>
      </w:r>
      <w:r>
        <w:rPr>
          <w:color w:val="auto"/>
        </w:rPr>
        <w:t>个充电桩车位，2个无障碍车位)，</w:t>
      </w:r>
      <w:r>
        <w:rPr>
          <w:rFonts w:hint="eastAsia"/>
          <w:color w:val="auto"/>
        </w:rPr>
        <w:t>地面货车车位</w:t>
      </w:r>
      <w:r>
        <w:rPr>
          <w:rFonts w:hint="eastAsia"/>
          <w:color w:val="auto"/>
          <w:lang w:eastAsia="zh-CN"/>
        </w:rPr>
        <w:t>12</w:t>
      </w:r>
      <w:r>
        <w:rPr>
          <w:rFonts w:hint="eastAsia"/>
          <w:color w:val="auto"/>
        </w:rPr>
        <w:t>个</w:t>
      </w:r>
      <w:r>
        <w:rPr>
          <w:color w:val="auto"/>
        </w:rPr>
        <w:t>，</w:t>
      </w:r>
      <w:r>
        <w:rPr>
          <w:rFonts w:hint="eastAsia"/>
          <w:color w:val="auto"/>
        </w:rPr>
        <w:t>详见建筑单体一览表。</w:t>
      </w:r>
    </w:p>
    <w:p>
      <w:pPr>
        <w:pStyle w:val="3"/>
        <w:bidi w:val="0"/>
        <w:rPr>
          <w:color w:val="auto"/>
          <w:lang w:val="en-US" w:eastAsia="zh-CN"/>
        </w:rPr>
      </w:pPr>
      <w:r>
        <w:rPr>
          <w:rFonts w:hint="eastAsia"/>
          <w:color w:val="auto"/>
          <w:lang w:val="en-US" w:eastAsia="zh-CN"/>
        </w:rPr>
        <w:t>设计范围</w:t>
      </w:r>
    </w:p>
    <w:p>
      <w:pPr>
        <w:bidi w:val="0"/>
        <w:rPr>
          <w:color w:val="auto"/>
        </w:rPr>
      </w:pPr>
      <w:r>
        <w:rPr>
          <w:rFonts w:hint="eastAsia"/>
          <w:color w:val="auto"/>
        </w:rPr>
        <w:t>1、本次设计包括项目红线内的室内外给排水系统和消防系统。</w:t>
      </w:r>
    </w:p>
    <w:p>
      <w:pPr>
        <w:bidi w:val="0"/>
        <w:rPr>
          <w:color w:val="auto"/>
        </w:rPr>
      </w:pPr>
      <w:r>
        <w:rPr>
          <w:rFonts w:hint="eastAsia"/>
          <w:color w:val="auto"/>
        </w:rPr>
        <w:t>2、水表井与城市给水管的连接管段和最末一座检查井与城市污水管及雨水管的连接管等,由城市有关部门负责设计。</w:t>
      </w:r>
    </w:p>
    <w:p>
      <w:pPr>
        <w:bidi w:val="0"/>
        <w:rPr>
          <w:color w:val="auto"/>
        </w:rPr>
      </w:pPr>
      <w:r>
        <w:rPr>
          <w:rFonts w:hint="eastAsia"/>
          <w:color w:val="auto"/>
        </w:rPr>
        <w:t>3、室外景观工程、绿地灌溉系统不属设计范围。</w:t>
      </w:r>
    </w:p>
    <w:p>
      <w:pPr>
        <w:pStyle w:val="3"/>
        <w:bidi w:val="0"/>
        <w:rPr>
          <w:color w:val="auto"/>
          <w:lang w:val="en-US" w:eastAsia="zh-CN"/>
        </w:rPr>
      </w:pPr>
      <w:r>
        <w:rPr>
          <w:rFonts w:hint="eastAsia"/>
          <w:color w:val="auto"/>
          <w:lang w:val="en-US" w:eastAsia="zh-CN"/>
        </w:rPr>
        <w:t>室外给排水系统</w:t>
      </w:r>
    </w:p>
    <w:p>
      <w:pPr>
        <w:pStyle w:val="4"/>
        <w:bidi w:val="0"/>
        <w:rPr>
          <w:color w:val="auto"/>
          <w:lang w:val="en-US" w:eastAsia="zh-CN"/>
        </w:rPr>
      </w:pPr>
      <w:r>
        <w:rPr>
          <w:rFonts w:hint="eastAsia"/>
          <w:color w:val="auto"/>
          <w:lang w:val="en-US" w:eastAsia="zh-CN"/>
        </w:rPr>
        <w:t>室外给水工程</w:t>
      </w:r>
    </w:p>
    <w:p>
      <w:pPr>
        <w:bidi w:val="0"/>
        <w:rPr>
          <w:color w:val="auto"/>
        </w:rPr>
      </w:pPr>
      <w:r>
        <w:rPr>
          <w:rFonts w:hint="eastAsia"/>
          <w:color w:val="auto"/>
        </w:rPr>
        <w:t>1、水源</w:t>
      </w:r>
    </w:p>
    <w:p>
      <w:pPr>
        <w:bidi w:val="0"/>
        <w:rPr>
          <w:color w:val="auto"/>
        </w:rPr>
      </w:pPr>
      <w:r>
        <w:rPr>
          <w:rFonts w:hint="eastAsia"/>
          <w:color w:val="auto"/>
        </w:rPr>
        <w:t>采用城市自来水为供水水源。</w:t>
      </w:r>
    </w:p>
    <w:p>
      <w:pPr>
        <w:bidi w:val="0"/>
        <w:rPr>
          <w:color w:val="auto"/>
        </w:rPr>
      </w:pPr>
      <w:r>
        <w:rPr>
          <w:rFonts w:hint="eastAsia"/>
          <w:color w:val="auto"/>
        </w:rPr>
        <w:t>2、用水量</w:t>
      </w:r>
    </w:p>
    <w:p>
      <w:pPr>
        <w:bidi w:val="0"/>
        <w:rPr>
          <w:color w:val="auto"/>
        </w:rPr>
      </w:pPr>
      <w:r>
        <w:rPr>
          <w:rFonts w:hint="eastAsia"/>
          <w:color w:val="auto"/>
        </w:rPr>
        <w:t>1）生活用水量：最高日</w:t>
      </w:r>
      <w:r>
        <w:rPr>
          <w:color w:val="auto"/>
        </w:rPr>
        <w:t>78.76</w:t>
      </w:r>
      <w:r>
        <w:rPr>
          <w:rFonts w:hint="eastAsia"/>
          <w:color w:val="auto"/>
        </w:rPr>
        <w:t>m3/d，最大小时</w:t>
      </w:r>
      <w:r>
        <w:rPr>
          <w:color w:val="auto"/>
        </w:rPr>
        <w:t>11.96</w:t>
      </w:r>
      <w:r>
        <w:rPr>
          <w:rFonts w:hint="eastAsia"/>
          <w:color w:val="auto"/>
        </w:rPr>
        <w:t>m3/h，平均小时</w:t>
      </w:r>
      <w:r>
        <w:rPr>
          <w:color w:val="auto"/>
        </w:rPr>
        <w:t>6.71</w:t>
      </w:r>
      <w:r>
        <w:rPr>
          <w:rFonts w:hint="eastAsia"/>
          <w:color w:val="auto"/>
        </w:rPr>
        <w:t xml:space="preserve"> m3/h，生活用水量计算详见表1。</w:t>
      </w:r>
    </w:p>
    <w:p>
      <w:pPr>
        <w:bidi w:val="0"/>
        <w:rPr>
          <w:color w:val="auto"/>
        </w:rPr>
      </w:pPr>
      <w:r>
        <w:rPr>
          <w:rFonts w:hint="eastAsia"/>
          <w:color w:val="auto"/>
        </w:rPr>
        <w:t>表1生活用水量计算表</w:t>
      </w:r>
    </w:p>
    <w:tbl>
      <w:tblPr>
        <w:tblStyle w:val="14"/>
        <w:tblW w:w="4997" w:type="pct"/>
        <w:jc w:val="center"/>
        <w:tblLayout w:type="autofit"/>
        <w:tblCellMar>
          <w:top w:w="15" w:type="dxa"/>
          <w:left w:w="15" w:type="dxa"/>
          <w:bottom w:w="15" w:type="dxa"/>
          <w:right w:w="15" w:type="dxa"/>
        </w:tblCellMar>
      </w:tblPr>
      <w:tblGrid>
        <w:gridCol w:w="754"/>
        <w:gridCol w:w="754"/>
        <w:gridCol w:w="840"/>
        <w:gridCol w:w="990"/>
        <w:gridCol w:w="636"/>
        <w:gridCol w:w="872"/>
        <w:gridCol w:w="1060"/>
        <w:gridCol w:w="1035"/>
        <w:gridCol w:w="1098"/>
        <w:gridCol w:w="891"/>
      </w:tblGrid>
      <w:tr>
        <w:tblPrEx>
          <w:tblCellMar>
            <w:top w:w="15" w:type="dxa"/>
            <w:left w:w="15" w:type="dxa"/>
            <w:bottom w:w="15" w:type="dxa"/>
            <w:right w:w="15" w:type="dxa"/>
          </w:tblCellMar>
        </w:tblPrEx>
        <w:trPr>
          <w:trHeight w:val="347" w:hRule="atLeast"/>
          <w:jc w:val="center"/>
        </w:trPr>
        <w:tc>
          <w:tcPr>
            <w:tcW w:w="422" w:type="pct"/>
            <w:vMerge w:val="restart"/>
            <w:tcBorders>
              <w:top w:val="single" w:color="000000" w:sz="4" w:space="0"/>
              <w:left w:val="single" w:color="000000" w:sz="4" w:space="0"/>
              <w:right w:val="single" w:color="000000" w:sz="4" w:space="0"/>
            </w:tcBorders>
            <w:vAlign w:val="center"/>
          </w:tcPr>
          <w:p>
            <w:pPr>
              <w:pStyle w:val="17"/>
              <w:bidi w:val="0"/>
              <w:jc w:val="center"/>
              <w:rPr>
                <w:color w:val="auto"/>
              </w:rPr>
            </w:pPr>
            <w:r>
              <w:rPr>
                <w:rFonts w:hint="eastAsia"/>
                <w:color w:val="auto"/>
              </w:rPr>
              <w:t>序号</w:t>
            </w:r>
          </w:p>
        </w:tc>
        <w:tc>
          <w:tcPr>
            <w:tcW w:w="422" w:type="pct"/>
            <w:vMerge w:val="restar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用途名称</w:t>
            </w:r>
          </w:p>
        </w:tc>
        <w:tc>
          <w:tcPr>
            <w:tcW w:w="470" w:type="pct"/>
            <w:vMerge w:val="restar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用水标准（L）</w:t>
            </w:r>
          </w:p>
        </w:tc>
        <w:tc>
          <w:tcPr>
            <w:tcW w:w="554" w:type="pct"/>
            <w:vMerge w:val="restar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单位</w:t>
            </w:r>
          </w:p>
        </w:tc>
        <w:tc>
          <w:tcPr>
            <w:tcW w:w="356" w:type="pct"/>
            <w:vMerge w:val="restar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数量</w:t>
            </w:r>
          </w:p>
        </w:tc>
        <w:tc>
          <w:tcPr>
            <w:tcW w:w="488" w:type="pct"/>
            <w:vMerge w:val="restar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用水时间（h）</w:t>
            </w:r>
          </w:p>
        </w:tc>
        <w:tc>
          <w:tcPr>
            <w:tcW w:w="593" w:type="pct"/>
            <w:vMerge w:val="restar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变化系数</w:t>
            </w:r>
          </w:p>
        </w:tc>
        <w:tc>
          <w:tcPr>
            <w:tcW w:w="1691" w:type="pct"/>
            <w:gridSpan w:val="3"/>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用水量(m3)</w:t>
            </w:r>
          </w:p>
        </w:tc>
      </w:tr>
      <w:tr>
        <w:tblPrEx>
          <w:tblCellMar>
            <w:top w:w="15" w:type="dxa"/>
            <w:left w:w="15" w:type="dxa"/>
            <w:bottom w:w="15" w:type="dxa"/>
            <w:right w:w="15" w:type="dxa"/>
          </w:tblCellMar>
        </w:tblPrEx>
        <w:trPr>
          <w:trHeight w:val="347" w:hRule="atLeast"/>
          <w:jc w:val="center"/>
        </w:trPr>
        <w:tc>
          <w:tcPr>
            <w:tcW w:w="422" w:type="pct"/>
            <w:vMerge w:val="continue"/>
            <w:tcBorders>
              <w:left w:val="single" w:color="000000" w:sz="4" w:space="0"/>
              <w:bottom w:val="single" w:color="000000" w:sz="4" w:space="0"/>
              <w:right w:val="single" w:color="000000" w:sz="4" w:space="0"/>
            </w:tcBorders>
            <w:vAlign w:val="center"/>
          </w:tcPr>
          <w:p>
            <w:pPr>
              <w:pStyle w:val="17"/>
              <w:bidi w:val="0"/>
              <w:jc w:val="center"/>
              <w:rPr>
                <w:color w:val="auto"/>
              </w:rPr>
            </w:pPr>
          </w:p>
        </w:tc>
        <w:tc>
          <w:tcPr>
            <w:tcW w:w="422" w:type="pct"/>
            <w:vMerge w:val="continue"/>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p>
        </w:tc>
        <w:tc>
          <w:tcPr>
            <w:tcW w:w="470" w:type="pct"/>
            <w:vMerge w:val="continue"/>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p>
        </w:tc>
        <w:tc>
          <w:tcPr>
            <w:tcW w:w="554" w:type="pct"/>
            <w:vMerge w:val="continue"/>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p>
        </w:tc>
        <w:tc>
          <w:tcPr>
            <w:tcW w:w="356" w:type="pct"/>
            <w:vMerge w:val="continue"/>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p>
        </w:tc>
        <w:tc>
          <w:tcPr>
            <w:tcW w:w="488" w:type="pct"/>
            <w:vMerge w:val="continue"/>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p>
        </w:tc>
        <w:tc>
          <w:tcPr>
            <w:tcW w:w="593" w:type="pct"/>
            <w:vMerge w:val="continue"/>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p>
        </w:tc>
        <w:tc>
          <w:tcPr>
            <w:tcW w:w="579"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最大日</w:t>
            </w:r>
          </w:p>
        </w:tc>
        <w:tc>
          <w:tcPr>
            <w:tcW w:w="614"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最大时</w:t>
            </w:r>
          </w:p>
        </w:tc>
        <w:tc>
          <w:tcPr>
            <w:tcW w:w="497"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平均时</w:t>
            </w:r>
          </w:p>
        </w:tc>
      </w:tr>
      <w:tr>
        <w:tblPrEx>
          <w:tblCellMar>
            <w:top w:w="15" w:type="dxa"/>
            <w:left w:w="15" w:type="dxa"/>
            <w:bottom w:w="15" w:type="dxa"/>
            <w:right w:w="15" w:type="dxa"/>
          </w:tblCellMar>
        </w:tblPrEx>
        <w:trPr>
          <w:trHeight w:val="347" w:hRule="atLeast"/>
          <w:jc w:val="center"/>
        </w:trPr>
        <w:tc>
          <w:tcPr>
            <w:tcW w:w="422"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1</w:t>
            </w:r>
          </w:p>
        </w:tc>
        <w:tc>
          <w:tcPr>
            <w:tcW w:w="422"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厂房</w:t>
            </w:r>
          </w:p>
        </w:tc>
        <w:tc>
          <w:tcPr>
            <w:tcW w:w="470"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50</w:t>
            </w:r>
          </w:p>
        </w:tc>
        <w:tc>
          <w:tcPr>
            <w:tcW w:w="554"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L/人·d</w:t>
            </w:r>
          </w:p>
        </w:tc>
        <w:tc>
          <w:tcPr>
            <w:tcW w:w="356"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480</w:t>
            </w:r>
          </w:p>
        </w:tc>
        <w:tc>
          <w:tcPr>
            <w:tcW w:w="488"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12</w:t>
            </w:r>
          </w:p>
        </w:tc>
        <w:tc>
          <w:tcPr>
            <w:tcW w:w="593"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2.5</w:t>
            </w:r>
          </w:p>
        </w:tc>
        <w:tc>
          <w:tcPr>
            <w:tcW w:w="579"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24.0</w:t>
            </w:r>
          </w:p>
        </w:tc>
        <w:tc>
          <w:tcPr>
            <w:tcW w:w="614"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5.0</w:t>
            </w:r>
          </w:p>
        </w:tc>
        <w:tc>
          <w:tcPr>
            <w:tcW w:w="497"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2.0</w:t>
            </w:r>
          </w:p>
        </w:tc>
      </w:tr>
      <w:tr>
        <w:tblPrEx>
          <w:tblCellMar>
            <w:top w:w="15" w:type="dxa"/>
            <w:left w:w="15" w:type="dxa"/>
            <w:bottom w:w="15" w:type="dxa"/>
            <w:right w:w="15" w:type="dxa"/>
          </w:tblCellMar>
        </w:tblPrEx>
        <w:trPr>
          <w:trHeight w:val="347" w:hRule="atLeast"/>
          <w:jc w:val="center"/>
        </w:trPr>
        <w:tc>
          <w:tcPr>
            <w:tcW w:w="422"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2</w:t>
            </w:r>
          </w:p>
        </w:tc>
        <w:tc>
          <w:tcPr>
            <w:tcW w:w="422"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宿舍</w:t>
            </w:r>
          </w:p>
        </w:tc>
        <w:tc>
          <w:tcPr>
            <w:tcW w:w="470"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200</w:t>
            </w:r>
          </w:p>
        </w:tc>
        <w:tc>
          <w:tcPr>
            <w:tcW w:w="554"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L/人·d</w:t>
            </w:r>
          </w:p>
        </w:tc>
        <w:tc>
          <w:tcPr>
            <w:tcW w:w="356"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104</w:t>
            </w:r>
          </w:p>
        </w:tc>
        <w:tc>
          <w:tcPr>
            <w:tcW w:w="488"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24</w:t>
            </w:r>
          </w:p>
        </w:tc>
        <w:tc>
          <w:tcPr>
            <w:tcW w:w="593"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2.</w:t>
            </w:r>
            <w:r>
              <w:rPr>
                <w:color w:val="auto"/>
              </w:rPr>
              <w:t>5</w:t>
            </w:r>
          </w:p>
        </w:tc>
        <w:tc>
          <w:tcPr>
            <w:tcW w:w="579"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2</w:t>
            </w:r>
            <w:r>
              <w:rPr>
                <w:color w:val="auto"/>
              </w:rPr>
              <w:t>0.8</w:t>
            </w:r>
          </w:p>
        </w:tc>
        <w:tc>
          <w:tcPr>
            <w:tcW w:w="614"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2.14</w:t>
            </w:r>
          </w:p>
        </w:tc>
        <w:tc>
          <w:tcPr>
            <w:tcW w:w="497"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0.87</w:t>
            </w:r>
          </w:p>
        </w:tc>
      </w:tr>
      <w:tr>
        <w:tblPrEx>
          <w:tblCellMar>
            <w:top w:w="15" w:type="dxa"/>
            <w:left w:w="15" w:type="dxa"/>
            <w:bottom w:w="15" w:type="dxa"/>
            <w:right w:w="15" w:type="dxa"/>
          </w:tblCellMar>
        </w:tblPrEx>
        <w:trPr>
          <w:trHeight w:val="387" w:hRule="atLeast"/>
          <w:jc w:val="center"/>
        </w:trPr>
        <w:tc>
          <w:tcPr>
            <w:tcW w:w="422"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3</w:t>
            </w:r>
          </w:p>
        </w:tc>
        <w:tc>
          <w:tcPr>
            <w:tcW w:w="422"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办公</w:t>
            </w:r>
          </w:p>
        </w:tc>
        <w:tc>
          <w:tcPr>
            <w:tcW w:w="470" w:type="pct"/>
            <w:tcBorders>
              <w:top w:val="single" w:color="000000" w:sz="4" w:space="0"/>
              <w:bottom w:val="single" w:color="000000" w:sz="4" w:space="0"/>
              <w:right w:val="single" w:color="000000" w:sz="4" w:space="0"/>
            </w:tcBorders>
            <w:vAlign w:val="center"/>
          </w:tcPr>
          <w:p>
            <w:pPr>
              <w:pStyle w:val="17"/>
              <w:bidi w:val="0"/>
              <w:jc w:val="center"/>
              <w:rPr>
                <w:color w:val="auto"/>
              </w:rPr>
            </w:pPr>
            <w:r>
              <w:rPr>
                <w:color w:val="auto"/>
              </w:rPr>
              <w:t>40</w:t>
            </w:r>
          </w:p>
        </w:tc>
        <w:tc>
          <w:tcPr>
            <w:tcW w:w="554"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L/人·d</w:t>
            </w:r>
          </w:p>
        </w:tc>
        <w:tc>
          <w:tcPr>
            <w:tcW w:w="356"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200</w:t>
            </w:r>
          </w:p>
        </w:tc>
        <w:tc>
          <w:tcPr>
            <w:tcW w:w="488"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8</w:t>
            </w:r>
          </w:p>
        </w:tc>
        <w:tc>
          <w:tcPr>
            <w:tcW w:w="593"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1.5</w:t>
            </w:r>
          </w:p>
        </w:tc>
        <w:tc>
          <w:tcPr>
            <w:tcW w:w="579"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9</w:t>
            </w:r>
            <w:r>
              <w:rPr>
                <w:color w:val="auto"/>
              </w:rPr>
              <w:t>.0</w:t>
            </w:r>
          </w:p>
        </w:tc>
        <w:tc>
          <w:tcPr>
            <w:tcW w:w="614"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1.</w:t>
            </w:r>
            <w:r>
              <w:rPr>
                <w:color w:val="auto"/>
              </w:rPr>
              <w:t>5</w:t>
            </w:r>
          </w:p>
        </w:tc>
        <w:tc>
          <w:tcPr>
            <w:tcW w:w="497"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1.</w:t>
            </w:r>
            <w:r>
              <w:rPr>
                <w:color w:val="auto"/>
              </w:rPr>
              <w:t>0</w:t>
            </w:r>
          </w:p>
        </w:tc>
      </w:tr>
      <w:tr>
        <w:tblPrEx>
          <w:tblCellMar>
            <w:top w:w="15" w:type="dxa"/>
            <w:left w:w="15" w:type="dxa"/>
            <w:bottom w:w="15" w:type="dxa"/>
            <w:right w:w="15" w:type="dxa"/>
          </w:tblCellMar>
        </w:tblPrEx>
        <w:trPr>
          <w:trHeight w:val="387" w:hRule="atLeast"/>
          <w:jc w:val="center"/>
        </w:trPr>
        <w:tc>
          <w:tcPr>
            <w:tcW w:w="422"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4</w:t>
            </w:r>
          </w:p>
        </w:tc>
        <w:tc>
          <w:tcPr>
            <w:tcW w:w="422"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道路冲洗</w:t>
            </w:r>
          </w:p>
        </w:tc>
        <w:tc>
          <w:tcPr>
            <w:tcW w:w="470" w:type="pct"/>
            <w:tcBorders>
              <w:top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2</w:t>
            </w:r>
          </w:p>
        </w:tc>
        <w:tc>
          <w:tcPr>
            <w:tcW w:w="554"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L/人·d</w:t>
            </w:r>
          </w:p>
        </w:tc>
        <w:tc>
          <w:tcPr>
            <w:tcW w:w="356"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3542</w:t>
            </w:r>
          </w:p>
        </w:tc>
        <w:tc>
          <w:tcPr>
            <w:tcW w:w="488"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8</w:t>
            </w:r>
          </w:p>
        </w:tc>
        <w:tc>
          <w:tcPr>
            <w:tcW w:w="593"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1</w:t>
            </w:r>
          </w:p>
        </w:tc>
        <w:tc>
          <w:tcPr>
            <w:tcW w:w="579"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7.1</w:t>
            </w:r>
          </w:p>
        </w:tc>
        <w:tc>
          <w:tcPr>
            <w:tcW w:w="614"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0.89</w:t>
            </w:r>
          </w:p>
        </w:tc>
        <w:tc>
          <w:tcPr>
            <w:tcW w:w="497"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0.89</w:t>
            </w:r>
          </w:p>
        </w:tc>
      </w:tr>
      <w:tr>
        <w:tblPrEx>
          <w:tblCellMar>
            <w:top w:w="15" w:type="dxa"/>
            <w:left w:w="15" w:type="dxa"/>
            <w:bottom w:w="15" w:type="dxa"/>
            <w:right w:w="15" w:type="dxa"/>
          </w:tblCellMar>
        </w:tblPrEx>
        <w:trPr>
          <w:trHeight w:val="387" w:hRule="atLeast"/>
          <w:jc w:val="center"/>
        </w:trPr>
        <w:tc>
          <w:tcPr>
            <w:tcW w:w="422"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5</w:t>
            </w:r>
          </w:p>
        </w:tc>
        <w:tc>
          <w:tcPr>
            <w:tcW w:w="422"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绿化用水</w:t>
            </w:r>
          </w:p>
        </w:tc>
        <w:tc>
          <w:tcPr>
            <w:tcW w:w="470" w:type="pct"/>
            <w:tcBorders>
              <w:top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2</w:t>
            </w:r>
          </w:p>
        </w:tc>
        <w:tc>
          <w:tcPr>
            <w:tcW w:w="554"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L/平方米·次</w:t>
            </w:r>
          </w:p>
        </w:tc>
        <w:tc>
          <w:tcPr>
            <w:tcW w:w="356"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5386</w:t>
            </w:r>
          </w:p>
        </w:tc>
        <w:tc>
          <w:tcPr>
            <w:tcW w:w="488"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8</w:t>
            </w:r>
          </w:p>
        </w:tc>
        <w:tc>
          <w:tcPr>
            <w:tcW w:w="593"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1</w:t>
            </w:r>
          </w:p>
        </w:tc>
        <w:tc>
          <w:tcPr>
            <w:tcW w:w="579"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10.7</w:t>
            </w:r>
          </w:p>
        </w:tc>
        <w:tc>
          <w:tcPr>
            <w:tcW w:w="614"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1.34</w:t>
            </w:r>
          </w:p>
        </w:tc>
        <w:tc>
          <w:tcPr>
            <w:tcW w:w="497"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1.34</w:t>
            </w:r>
          </w:p>
        </w:tc>
      </w:tr>
      <w:tr>
        <w:tblPrEx>
          <w:tblCellMar>
            <w:top w:w="15" w:type="dxa"/>
            <w:left w:w="15" w:type="dxa"/>
            <w:bottom w:w="15" w:type="dxa"/>
            <w:right w:w="15" w:type="dxa"/>
          </w:tblCellMar>
        </w:tblPrEx>
        <w:trPr>
          <w:trHeight w:val="387" w:hRule="atLeast"/>
          <w:jc w:val="center"/>
        </w:trPr>
        <w:tc>
          <w:tcPr>
            <w:tcW w:w="422"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6</w:t>
            </w:r>
          </w:p>
        </w:tc>
        <w:tc>
          <w:tcPr>
            <w:tcW w:w="422"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未预见水</w:t>
            </w:r>
          </w:p>
        </w:tc>
        <w:tc>
          <w:tcPr>
            <w:tcW w:w="470"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按本表以上项目的10%计</w:t>
            </w:r>
          </w:p>
        </w:tc>
        <w:tc>
          <w:tcPr>
            <w:tcW w:w="554"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p>
        </w:tc>
        <w:tc>
          <w:tcPr>
            <w:tcW w:w="356"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p>
        </w:tc>
        <w:tc>
          <w:tcPr>
            <w:tcW w:w="488"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p>
        </w:tc>
        <w:tc>
          <w:tcPr>
            <w:tcW w:w="593"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p>
        </w:tc>
        <w:tc>
          <w:tcPr>
            <w:tcW w:w="579"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7.16</w:t>
            </w:r>
          </w:p>
        </w:tc>
        <w:tc>
          <w:tcPr>
            <w:tcW w:w="614"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1.09</w:t>
            </w:r>
          </w:p>
        </w:tc>
        <w:tc>
          <w:tcPr>
            <w:tcW w:w="497"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0.61</w:t>
            </w:r>
          </w:p>
        </w:tc>
      </w:tr>
      <w:tr>
        <w:tblPrEx>
          <w:tblCellMar>
            <w:top w:w="15" w:type="dxa"/>
            <w:left w:w="15" w:type="dxa"/>
            <w:bottom w:w="15" w:type="dxa"/>
            <w:right w:w="15" w:type="dxa"/>
          </w:tblCellMar>
        </w:tblPrEx>
        <w:trPr>
          <w:trHeight w:val="1216" w:hRule="atLeast"/>
          <w:jc w:val="center"/>
        </w:trPr>
        <w:tc>
          <w:tcPr>
            <w:tcW w:w="422"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7</w:t>
            </w:r>
          </w:p>
        </w:tc>
        <w:tc>
          <w:tcPr>
            <w:tcW w:w="422"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rFonts w:hint="eastAsia"/>
                <w:color w:val="auto"/>
              </w:rPr>
              <w:t>合计</w:t>
            </w:r>
          </w:p>
        </w:tc>
        <w:tc>
          <w:tcPr>
            <w:tcW w:w="470"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p>
        </w:tc>
        <w:tc>
          <w:tcPr>
            <w:tcW w:w="554"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p>
        </w:tc>
        <w:tc>
          <w:tcPr>
            <w:tcW w:w="356"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p>
        </w:tc>
        <w:tc>
          <w:tcPr>
            <w:tcW w:w="488"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p>
        </w:tc>
        <w:tc>
          <w:tcPr>
            <w:tcW w:w="593"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p>
        </w:tc>
        <w:tc>
          <w:tcPr>
            <w:tcW w:w="579"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78.76</w:t>
            </w:r>
          </w:p>
        </w:tc>
        <w:tc>
          <w:tcPr>
            <w:tcW w:w="614"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11.96</w:t>
            </w:r>
          </w:p>
        </w:tc>
        <w:tc>
          <w:tcPr>
            <w:tcW w:w="497" w:type="pct"/>
            <w:tcBorders>
              <w:top w:val="single" w:color="000000" w:sz="4" w:space="0"/>
              <w:left w:val="single" w:color="000000" w:sz="4" w:space="0"/>
              <w:bottom w:val="single" w:color="000000" w:sz="4" w:space="0"/>
              <w:right w:val="single" w:color="000000" w:sz="4" w:space="0"/>
            </w:tcBorders>
            <w:vAlign w:val="center"/>
          </w:tcPr>
          <w:p>
            <w:pPr>
              <w:pStyle w:val="17"/>
              <w:bidi w:val="0"/>
              <w:jc w:val="center"/>
              <w:rPr>
                <w:color w:val="auto"/>
              </w:rPr>
            </w:pPr>
            <w:r>
              <w:rPr>
                <w:color w:val="auto"/>
              </w:rPr>
              <w:t>6.71</w:t>
            </w:r>
          </w:p>
        </w:tc>
      </w:tr>
    </w:tbl>
    <w:p>
      <w:pPr>
        <w:bidi w:val="0"/>
        <w:rPr>
          <w:color w:val="auto"/>
        </w:rPr>
      </w:pPr>
      <w:r>
        <w:rPr>
          <w:rFonts w:hint="eastAsia"/>
          <w:color w:val="auto"/>
        </w:rPr>
        <w:t>2）消防用水量：室外消火栓系统设计流量为</w:t>
      </w:r>
      <w:r>
        <w:rPr>
          <w:color w:val="auto"/>
        </w:rPr>
        <w:t>25</w:t>
      </w:r>
      <w:r>
        <w:rPr>
          <w:rFonts w:hint="eastAsia"/>
          <w:color w:val="auto"/>
        </w:rPr>
        <w:t>L/s,室内消火栓系统设计流量为15L/s,火灾延续时间为2h，扑灭一次火灾用水量为</w:t>
      </w:r>
      <w:r>
        <w:rPr>
          <w:color w:val="auto"/>
        </w:rPr>
        <w:t>288</w:t>
      </w:r>
      <w:r>
        <w:rPr>
          <w:rFonts w:hint="eastAsia"/>
          <w:color w:val="auto"/>
        </w:rPr>
        <w:t>立方米。其消防用水量详表2。</w:t>
      </w:r>
    </w:p>
    <w:p>
      <w:pPr>
        <w:bidi w:val="0"/>
        <w:rPr>
          <w:color w:val="auto"/>
        </w:rPr>
      </w:pPr>
      <w:r>
        <w:rPr>
          <w:rFonts w:hint="eastAsia"/>
          <w:color w:val="auto"/>
        </w:rPr>
        <w:t>表2消防设计流量及用水量表</w:t>
      </w:r>
    </w:p>
    <w:tbl>
      <w:tblPr>
        <w:tblStyle w:val="14"/>
        <w:tblW w:w="4998"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850"/>
        <w:gridCol w:w="2014"/>
        <w:gridCol w:w="1467"/>
        <w:gridCol w:w="1203"/>
        <w:gridCol w:w="1476"/>
        <w:gridCol w:w="191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35" w:hRule="atLeast"/>
        </w:trPr>
        <w:tc>
          <w:tcPr>
            <w:tcW w:w="476" w:type="pct"/>
            <w:vAlign w:val="center"/>
          </w:tcPr>
          <w:p>
            <w:pPr>
              <w:pStyle w:val="17"/>
              <w:bidi w:val="0"/>
              <w:jc w:val="center"/>
              <w:rPr>
                <w:color w:val="auto"/>
                <w:lang w:val="en-US" w:eastAsia="zh-CN"/>
              </w:rPr>
            </w:pPr>
            <w:r>
              <w:rPr>
                <w:rFonts w:hint="eastAsia"/>
                <w:color w:val="auto"/>
                <w:lang w:val="en-US" w:eastAsia="zh-CN"/>
              </w:rPr>
              <w:t>序号</w:t>
            </w:r>
          </w:p>
        </w:tc>
        <w:tc>
          <w:tcPr>
            <w:tcW w:w="1128" w:type="pct"/>
            <w:vAlign w:val="center"/>
          </w:tcPr>
          <w:p>
            <w:pPr>
              <w:pStyle w:val="17"/>
              <w:bidi w:val="0"/>
              <w:jc w:val="center"/>
              <w:rPr>
                <w:color w:val="auto"/>
                <w:lang w:val="en-US" w:eastAsia="zh-CN"/>
              </w:rPr>
            </w:pPr>
            <w:r>
              <w:rPr>
                <w:rFonts w:hint="eastAsia"/>
                <w:color w:val="auto"/>
                <w:lang w:val="en-US" w:eastAsia="zh-CN"/>
              </w:rPr>
              <w:t>消防系统名称</w:t>
            </w:r>
          </w:p>
        </w:tc>
        <w:tc>
          <w:tcPr>
            <w:tcW w:w="822" w:type="pct"/>
            <w:vAlign w:val="center"/>
          </w:tcPr>
          <w:p>
            <w:pPr>
              <w:pStyle w:val="17"/>
              <w:bidi w:val="0"/>
              <w:jc w:val="center"/>
              <w:rPr>
                <w:color w:val="auto"/>
                <w:lang w:val="en-US" w:eastAsia="zh-CN"/>
              </w:rPr>
            </w:pPr>
            <w:r>
              <w:rPr>
                <w:rFonts w:hint="eastAsia"/>
                <w:color w:val="auto"/>
                <w:lang w:val="en-US" w:eastAsia="zh-CN"/>
              </w:rPr>
              <w:t>消防用水量标准</w:t>
            </w:r>
          </w:p>
        </w:tc>
        <w:tc>
          <w:tcPr>
            <w:tcW w:w="674" w:type="pct"/>
            <w:vAlign w:val="center"/>
          </w:tcPr>
          <w:p>
            <w:pPr>
              <w:pStyle w:val="17"/>
              <w:bidi w:val="0"/>
              <w:jc w:val="center"/>
              <w:rPr>
                <w:color w:val="auto"/>
                <w:lang w:val="en-US" w:eastAsia="zh-CN"/>
              </w:rPr>
            </w:pPr>
            <w:r>
              <w:rPr>
                <w:rFonts w:hint="eastAsia"/>
                <w:color w:val="auto"/>
                <w:lang w:val="en-US" w:eastAsia="zh-CN"/>
              </w:rPr>
              <w:t>火灾延续</w:t>
            </w:r>
          </w:p>
          <w:p>
            <w:pPr>
              <w:pStyle w:val="17"/>
              <w:bidi w:val="0"/>
              <w:jc w:val="center"/>
              <w:rPr>
                <w:color w:val="auto"/>
                <w:lang w:val="en-US" w:eastAsia="zh-CN"/>
              </w:rPr>
            </w:pPr>
            <w:r>
              <w:rPr>
                <w:rFonts w:hint="eastAsia"/>
                <w:color w:val="auto"/>
                <w:lang w:val="en-US" w:eastAsia="zh-CN"/>
              </w:rPr>
              <w:t>时间</w:t>
            </w:r>
          </w:p>
        </w:tc>
        <w:tc>
          <w:tcPr>
            <w:tcW w:w="827" w:type="pct"/>
            <w:vAlign w:val="center"/>
          </w:tcPr>
          <w:p>
            <w:pPr>
              <w:pStyle w:val="17"/>
              <w:bidi w:val="0"/>
              <w:jc w:val="center"/>
              <w:rPr>
                <w:color w:val="auto"/>
                <w:lang w:val="en-US" w:eastAsia="zh-CN"/>
              </w:rPr>
            </w:pPr>
            <w:r>
              <w:rPr>
                <w:rFonts w:hint="eastAsia"/>
                <w:color w:val="auto"/>
                <w:lang w:val="en-US" w:eastAsia="zh-CN"/>
              </w:rPr>
              <w:t>—次灭火用水量</w:t>
            </w:r>
          </w:p>
        </w:tc>
        <w:tc>
          <w:tcPr>
            <w:tcW w:w="1070" w:type="pct"/>
            <w:vAlign w:val="center"/>
          </w:tcPr>
          <w:p>
            <w:pPr>
              <w:pStyle w:val="17"/>
              <w:bidi w:val="0"/>
              <w:jc w:val="center"/>
              <w:rPr>
                <w:color w:val="auto"/>
                <w:lang w:val="en-US" w:eastAsia="zh-CN"/>
              </w:rPr>
            </w:pPr>
            <w:r>
              <w:rPr>
                <w:rFonts w:hint="eastAsia"/>
                <w:color w:val="auto"/>
                <w:lang w:val="en-US" w:eastAsia="zh-CN"/>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5" w:hRule="atLeast"/>
        </w:trPr>
        <w:tc>
          <w:tcPr>
            <w:tcW w:w="476" w:type="pct"/>
            <w:vAlign w:val="center"/>
          </w:tcPr>
          <w:p>
            <w:pPr>
              <w:pStyle w:val="17"/>
              <w:bidi w:val="0"/>
              <w:jc w:val="center"/>
              <w:rPr>
                <w:color w:val="auto"/>
                <w:lang w:val="en-US" w:eastAsia="zh-CN"/>
              </w:rPr>
            </w:pPr>
            <w:r>
              <w:rPr>
                <w:rFonts w:hint="eastAsia"/>
                <w:color w:val="auto"/>
                <w:lang w:val="en-US" w:eastAsia="zh-CN"/>
              </w:rPr>
              <w:t>1</w:t>
            </w:r>
          </w:p>
        </w:tc>
        <w:tc>
          <w:tcPr>
            <w:tcW w:w="1128" w:type="pct"/>
            <w:vAlign w:val="center"/>
          </w:tcPr>
          <w:p>
            <w:pPr>
              <w:pStyle w:val="17"/>
              <w:bidi w:val="0"/>
              <w:jc w:val="center"/>
              <w:rPr>
                <w:color w:val="auto"/>
                <w:lang w:val="en-US" w:eastAsia="zh-CN"/>
              </w:rPr>
            </w:pPr>
            <w:r>
              <w:rPr>
                <w:rFonts w:hint="eastAsia"/>
                <w:color w:val="auto"/>
                <w:lang w:val="en-US" w:eastAsia="zh-CN"/>
              </w:rPr>
              <w:t>室内消火栓系统</w:t>
            </w:r>
          </w:p>
        </w:tc>
        <w:tc>
          <w:tcPr>
            <w:tcW w:w="822" w:type="pct"/>
            <w:vAlign w:val="center"/>
          </w:tcPr>
          <w:p>
            <w:pPr>
              <w:pStyle w:val="17"/>
              <w:bidi w:val="0"/>
              <w:jc w:val="center"/>
              <w:rPr>
                <w:color w:val="auto"/>
                <w:lang w:val="en-US" w:eastAsia="zh-CN"/>
              </w:rPr>
            </w:pPr>
            <w:r>
              <w:rPr>
                <w:rFonts w:hint="eastAsia"/>
                <w:color w:val="auto"/>
                <w:lang w:val="en-US" w:eastAsia="zh-CN"/>
              </w:rPr>
              <w:t>15L/s</w:t>
            </w:r>
          </w:p>
        </w:tc>
        <w:tc>
          <w:tcPr>
            <w:tcW w:w="674" w:type="pct"/>
            <w:vAlign w:val="center"/>
          </w:tcPr>
          <w:p>
            <w:pPr>
              <w:pStyle w:val="17"/>
              <w:bidi w:val="0"/>
              <w:jc w:val="center"/>
              <w:rPr>
                <w:color w:val="auto"/>
                <w:lang w:val="en-US" w:eastAsia="zh-CN"/>
              </w:rPr>
            </w:pPr>
            <w:r>
              <w:rPr>
                <w:color w:val="auto"/>
                <w:lang w:val="en-US" w:eastAsia="zh-CN"/>
              </w:rPr>
              <w:t>2</w:t>
            </w:r>
            <w:r>
              <w:rPr>
                <w:rFonts w:hint="eastAsia"/>
                <w:color w:val="auto"/>
                <w:lang w:val="en-US" w:eastAsia="zh-CN"/>
              </w:rPr>
              <w:t>h</w:t>
            </w:r>
          </w:p>
        </w:tc>
        <w:tc>
          <w:tcPr>
            <w:tcW w:w="827" w:type="pct"/>
            <w:vAlign w:val="center"/>
          </w:tcPr>
          <w:p>
            <w:pPr>
              <w:pStyle w:val="17"/>
              <w:bidi w:val="0"/>
              <w:jc w:val="center"/>
              <w:rPr>
                <w:color w:val="auto"/>
                <w:lang w:val="en-US" w:eastAsia="zh-CN"/>
              </w:rPr>
            </w:pPr>
            <w:r>
              <w:rPr>
                <w:color w:val="auto"/>
                <w:lang w:val="en-US" w:eastAsia="zh-CN"/>
              </w:rPr>
              <w:t>108</w:t>
            </w:r>
            <w:r>
              <w:rPr>
                <w:rFonts w:hint="eastAsia"/>
                <w:color w:val="auto"/>
                <w:lang w:val="en-US" w:eastAsia="zh-CN"/>
              </w:rPr>
              <w:t>m3</w:t>
            </w:r>
          </w:p>
        </w:tc>
        <w:tc>
          <w:tcPr>
            <w:tcW w:w="1070" w:type="pct"/>
            <w:vAlign w:val="center"/>
          </w:tcPr>
          <w:p>
            <w:pPr>
              <w:pStyle w:val="17"/>
              <w:bidi w:val="0"/>
              <w:jc w:val="center"/>
              <w:rPr>
                <w:color w:val="auto"/>
                <w:lang w:val="en-US" w:eastAsia="zh-CN"/>
              </w:rPr>
            </w:pPr>
            <w:r>
              <w:rPr>
                <w:rFonts w:hint="eastAsia"/>
                <w:color w:val="auto"/>
                <w:lang w:val="en-US" w:eastAsia="zh-CN"/>
              </w:rPr>
              <w:t>由消防水池供给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7" w:hRule="atLeast"/>
        </w:trPr>
        <w:tc>
          <w:tcPr>
            <w:tcW w:w="476" w:type="pct"/>
            <w:vAlign w:val="center"/>
          </w:tcPr>
          <w:p>
            <w:pPr>
              <w:pStyle w:val="17"/>
              <w:bidi w:val="0"/>
              <w:jc w:val="center"/>
              <w:rPr>
                <w:color w:val="auto"/>
                <w:lang w:val="en-US" w:eastAsia="zh-CN"/>
              </w:rPr>
            </w:pPr>
            <w:r>
              <w:rPr>
                <w:rFonts w:hint="eastAsia"/>
                <w:color w:val="auto"/>
                <w:lang w:val="en-US" w:eastAsia="zh-CN"/>
              </w:rPr>
              <w:t>2</w:t>
            </w:r>
          </w:p>
        </w:tc>
        <w:tc>
          <w:tcPr>
            <w:tcW w:w="1128" w:type="pct"/>
            <w:vAlign w:val="center"/>
          </w:tcPr>
          <w:p>
            <w:pPr>
              <w:pStyle w:val="17"/>
              <w:bidi w:val="0"/>
              <w:jc w:val="center"/>
              <w:rPr>
                <w:color w:val="auto"/>
                <w:lang w:val="en-US" w:eastAsia="zh-CN"/>
              </w:rPr>
            </w:pPr>
            <w:r>
              <w:rPr>
                <w:rFonts w:hint="eastAsia"/>
                <w:color w:val="auto"/>
                <w:lang w:val="en-US" w:eastAsia="zh-CN"/>
              </w:rPr>
              <w:t>室外消火栓系统</w:t>
            </w:r>
          </w:p>
        </w:tc>
        <w:tc>
          <w:tcPr>
            <w:tcW w:w="822" w:type="pct"/>
            <w:vAlign w:val="center"/>
          </w:tcPr>
          <w:p>
            <w:pPr>
              <w:pStyle w:val="17"/>
              <w:bidi w:val="0"/>
              <w:jc w:val="center"/>
              <w:rPr>
                <w:color w:val="auto"/>
                <w:lang w:val="en-US" w:eastAsia="zh-CN"/>
              </w:rPr>
            </w:pPr>
            <w:r>
              <w:rPr>
                <w:color w:val="auto"/>
                <w:lang w:val="en-US" w:eastAsia="zh-CN"/>
              </w:rPr>
              <w:t>25</w:t>
            </w:r>
            <w:r>
              <w:rPr>
                <w:rFonts w:hint="eastAsia"/>
                <w:color w:val="auto"/>
                <w:lang w:val="en-US" w:eastAsia="zh-CN"/>
              </w:rPr>
              <w:t>L/s</w:t>
            </w:r>
          </w:p>
        </w:tc>
        <w:tc>
          <w:tcPr>
            <w:tcW w:w="674" w:type="pct"/>
            <w:vAlign w:val="center"/>
          </w:tcPr>
          <w:p>
            <w:pPr>
              <w:pStyle w:val="17"/>
              <w:bidi w:val="0"/>
              <w:jc w:val="center"/>
              <w:rPr>
                <w:color w:val="auto"/>
                <w:lang w:val="en-US" w:eastAsia="zh-CN"/>
              </w:rPr>
            </w:pPr>
            <w:r>
              <w:rPr>
                <w:color w:val="auto"/>
                <w:lang w:val="en-US" w:eastAsia="zh-CN"/>
              </w:rPr>
              <w:t>2</w:t>
            </w:r>
            <w:r>
              <w:rPr>
                <w:rFonts w:hint="eastAsia"/>
                <w:color w:val="auto"/>
                <w:lang w:val="en-US" w:eastAsia="zh-CN"/>
              </w:rPr>
              <w:t>h</w:t>
            </w:r>
          </w:p>
        </w:tc>
        <w:tc>
          <w:tcPr>
            <w:tcW w:w="827" w:type="pct"/>
            <w:vAlign w:val="center"/>
          </w:tcPr>
          <w:p>
            <w:pPr>
              <w:pStyle w:val="17"/>
              <w:bidi w:val="0"/>
              <w:jc w:val="center"/>
              <w:rPr>
                <w:color w:val="auto"/>
                <w:lang w:val="en-US" w:eastAsia="zh-CN"/>
              </w:rPr>
            </w:pPr>
            <w:r>
              <w:rPr>
                <w:color w:val="auto"/>
                <w:lang w:val="en-US" w:eastAsia="zh-CN"/>
              </w:rPr>
              <w:t>180</w:t>
            </w:r>
            <w:r>
              <w:rPr>
                <w:rFonts w:hint="eastAsia"/>
                <w:color w:val="auto"/>
                <w:lang w:val="en-US" w:eastAsia="zh-CN"/>
              </w:rPr>
              <w:t>m3</w:t>
            </w:r>
          </w:p>
        </w:tc>
        <w:tc>
          <w:tcPr>
            <w:tcW w:w="1070" w:type="pct"/>
            <w:vAlign w:val="center"/>
          </w:tcPr>
          <w:p>
            <w:pPr>
              <w:pStyle w:val="17"/>
              <w:bidi w:val="0"/>
              <w:jc w:val="center"/>
              <w:rPr>
                <w:color w:val="auto"/>
                <w:lang w:val="en-US" w:eastAsia="zh-CN"/>
              </w:rPr>
            </w:pPr>
            <w:r>
              <w:rPr>
                <w:rFonts w:hint="eastAsia"/>
                <w:color w:val="auto"/>
                <w:lang w:val="en-US" w:eastAsia="zh-CN"/>
              </w:rPr>
              <w:t>由消防水池供给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7" w:hRule="atLeast"/>
        </w:trPr>
        <w:tc>
          <w:tcPr>
            <w:tcW w:w="476" w:type="pct"/>
            <w:vAlign w:val="center"/>
          </w:tcPr>
          <w:p>
            <w:pPr>
              <w:pStyle w:val="17"/>
              <w:bidi w:val="0"/>
              <w:jc w:val="center"/>
              <w:rPr>
                <w:color w:val="auto"/>
                <w:lang w:val="en-US" w:eastAsia="zh-CN"/>
              </w:rPr>
            </w:pPr>
          </w:p>
        </w:tc>
        <w:tc>
          <w:tcPr>
            <w:tcW w:w="1128" w:type="pct"/>
            <w:vAlign w:val="center"/>
          </w:tcPr>
          <w:p>
            <w:pPr>
              <w:pStyle w:val="17"/>
              <w:bidi w:val="0"/>
              <w:jc w:val="center"/>
              <w:rPr>
                <w:color w:val="auto"/>
                <w:lang w:val="en-US" w:eastAsia="zh-CN"/>
              </w:rPr>
            </w:pPr>
            <w:r>
              <w:rPr>
                <w:rFonts w:hint="eastAsia"/>
                <w:color w:val="auto"/>
                <w:lang w:val="en-US" w:eastAsia="zh-CN"/>
              </w:rPr>
              <w:t>合计</w:t>
            </w:r>
          </w:p>
        </w:tc>
        <w:tc>
          <w:tcPr>
            <w:tcW w:w="822" w:type="pct"/>
            <w:vAlign w:val="center"/>
          </w:tcPr>
          <w:p>
            <w:pPr>
              <w:pStyle w:val="17"/>
              <w:bidi w:val="0"/>
              <w:jc w:val="center"/>
              <w:rPr>
                <w:color w:val="auto"/>
                <w:lang w:val="en-US" w:eastAsia="zh-CN"/>
              </w:rPr>
            </w:pPr>
          </w:p>
        </w:tc>
        <w:tc>
          <w:tcPr>
            <w:tcW w:w="674" w:type="pct"/>
            <w:vAlign w:val="center"/>
          </w:tcPr>
          <w:p>
            <w:pPr>
              <w:pStyle w:val="17"/>
              <w:bidi w:val="0"/>
              <w:jc w:val="center"/>
              <w:rPr>
                <w:color w:val="auto"/>
                <w:lang w:val="en-US" w:eastAsia="zh-CN"/>
              </w:rPr>
            </w:pPr>
          </w:p>
        </w:tc>
        <w:tc>
          <w:tcPr>
            <w:tcW w:w="827" w:type="pct"/>
            <w:vAlign w:val="center"/>
          </w:tcPr>
          <w:p>
            <w:pPr>
              <w:pStyle w:val="17"/>
              <w:bidi w:val="0"/>
              <w:jc w:val="center"/>
              <w:rPr>
                <w:color w:val="auto"/>
                <w:lang w:val="en-US" w:eastAsia="zh-CN"/>
              </w:rPr>
            </w:pPr>
            <w:r>
              <w:rPr>
                <w:color w:val="auto"/>
                <w:lang w:val="en-US" w:eastAsia="zh-CN"/>
              </w:rPr>
              <w:t>288</w:t>
            </w:r>
            <w:r>
              <w:rPr>
                <w:rFonts w:hint="eastAsia"/>
                <w:color w:val="auto"/>
                <w:lang w:val="en-US" w:eastAsia="zh-CN"/>
              </w:rPr>
              <w:t xml:space="preserve"> m3</w:t>
            </w:r>
          </w:p>
        </w:tc>
        <w:tc>
          <w:tcPr>
            <w:tcW w:w="1070" w:type="pct"/>
            <w:vAlign w:val="center"/>
          </w:tcPr>
          <w:p>
            <w:pPr>
              <w:pStyle w:val="17"/>
              <w:bidi w:val="0"/>
              <w:jc w:val="center"/>
              <w:rPr>
                <w:color w:val="auto"/>
                <w:lang w:val="en-US" w:eastAsia="zh-CN"/>
              </w:rPr>
            </w:pPr>
          </w:p>
        </w:tc>
      </w:tr>
    </w:tbl>
    <w:p>
      <w:pPr>
        <w:bidi w:val="0"/>
        <w:rPr>
          <w:color w:val="auto"/>
        </w:rPr>
      </w:pPr>
      <w:r>
        <w:rPr>
          <w:rFonts w:hint="eastAsia"/>
          <w:color w:val="auto"/>
        </w:rPr>
        <w:t>3、给水管道系统</w:t>
      </w:r>
    </w:p>
    <w:p>
      <w:pPr>
        <w:bidi w:val="0"/>
        <w:rPr>
          <w:color w:val="auto"/>
        </w:rPr>
      </w:pPr>
      <w:r>
        <w:rPr>
          <w:rFonts w:hint="eastAsia"/>
          <w:color w:val="auto"/>
        </w:rPr>
        <w:t>本工程给水系统为一路供水，从新市南路市政管网引入一根DN150mm与项目内成环，供生活及消防补水，且在水表后设倒流防止器，防止红线内给水管网的水倒流污染城市给水。</w:t>
      </w:r>
    </w:p>
    <w:p>
      <w:pPr>
        <w:bidi w:val="0"/>
        <w:rPr>
          <w:color w:val="auto"/>
        </w:rPr>
      </w:pPr>
      <w:r>
        <w:rPr>
          <w:rFonts w:hint="eastAsia"/>
          <w:color w:val="auto"/>
        </w:rPr>
        <w:t>4、管材</w:t>
      </w:r>
    </w:p>
    <w:p>
      <w:pPr>
        <w:bidi w:val="0"/>
        <w:rPr>
          <w:color w:val="auto"/>
        </w:rPr>
      </w:pPr>
      <w:r>
        <w:rPr>
          <w:rFonts w:hint="eastAsia"/>
          <w:color w:val="auto"/>
        </w:rPr>
        <w:t>1)室外给水管采用钢丝网骨架聚乙烯复合管或涂塑钢管,电熔连接。管道，管件及阀门的工作压力为1.0MPa。</w:t>
      </w:r>
    </w:p>
    <w:p>
      <w:pPr>
        <w:bidi w:val="0"/>
        <w:rPr>
          <w:color w:val="auto"/>
        </w:rPr>
      </w:pPr>
      <w:r>
        <w:rPr>
          <w:rFonts w:hint="eastAsia"/>
          <w:color w:val="auto"/>
        </w:rPr>
        <w:t>2)水表井和阀门井均采用砖砌筑,井盖采用新型复合材料井盖和盖座，位于行车道上者为重型；位于非行车道上者为轻型。</w:t>
      </w:r>
    </w:p>
    <w:p>
      <w:pPr>
        <w:pStyle w:val="4"/>
        <w:bidi w:val="0"/>
        <w:rPr>
          <w:color w:val="auto"/>
          <w:lang w:val="en-US" w:eastAsia="zh-CN"/>
        </w:rPr>
      </w:pPr>
      <w:r>
        <w:rPr>
          <w:rFonts w:hint="eastAsia"/>
          <w:color w:val="auto"/>
          <w:lang w:val="en-US" w:eastAsia="zh-CN"/>
        </w:rPr>
        <w:t>室外消防给水工程设计</w:t>
      </w:r>
    </w:p>
    <w:p>
      <w:pPr>
        <w:bidi w:val="0"/>
        <w:rPr>
          <w:color w:val="auto"/>
        </w:rPr>
      </w:pPr>
      <w:r>
        <w:rPr>
          <w:rFonts w:hint="eastAsia"/>
          <w:color w:val="auto"/>
        </w:rPr>
        <w:t>1、周边为一路市政水源。市政水源不满足室外消防用水水量和水压的要求（本项目市政引入点水压约0.35MPa，测压点标高48.5m。</w:t>
      </w:r>
    </w:p>
    <w:p>
      <w:pPr>
        <w:bidi w:val="0"/>
        <w:rPr>
          <w:color w:val="auto"/>
        </w:rPr>
      </w:pPr>
      <w:r>
        <w:rPr>
          <w:rFonts w:hint="eastAsia"/>
          <w:color w:val="auto"/>
        </w:rPr>
        <w:t>2、室外消火栓系统采用临时高压制，地块东北侧设备用房设</w:t>
      </w:r>
      <w:r>
        <w:rPr>
          <w:color w:val="auto"/>
        </w:rPr>
        <w:t>288</w:t>
      </w:r>
      <w:r>
        <w:rPr>
          <w:rFonts w:hint="eastAsia"/>
          <w:color w:val="auto"/>
        </w:rPr>
        <w:t>m3消防水池及消防泵房，设2台室内外消火栓合泵（型号：流量40L/s，杨程56m，功率37kw），室外消防环状给水管网上设置室外消火栓，建筑物消防扑救面设置室外地上式消火栓，其余消火栓沿消防车道布置，间距不超过120m,距消防车道边不大于2.0m，距建筑物外墙不小于5.0m。室外消防给水管采用钢丝网骨架塑料复合管，电熔连接，压力等级1.60MPa。</w:t>
      </w:r>
    </w:p>
    <w:p>
      <w:pPr>
        <w:bidi w:val="0"/>
        <w:rPr>
          <w:color w:val="auto"/>
        </w:rPr>
      </w:pPr>
      <w:r>
        <w:rPr>
          <w:rFonts w:hint="eastAsia"/>
          <w:color w:val="auto"/>
        </w:rPr>
        <w:t>3、每座建筑设置消防水泵接合器。消防水泵接合器在建筑物附近就近沿消防车道设置,其周围15〜40m内设置室外消火栓，其数量按室内消防流量计算确定。</w:t>
      </w:r>
    </w:p>
    <w:p>
      <w:pPr>
        <w:pStyle w:val="4"/>
        <w:bidi w:val="0"/>
        <w:rPr>
          <w:color w:val="auto"/>
          <w:lang w:val="en-US" w:eastAsia="zh-CN"/>
        </w:rPr>
      </w:pPr>
      <w:r>
        <w:rPr>
          <w:rFonts w:hint="eastAsia"/>
          <w:color w:val="auto"/>
          <w:lang w:val="en-US" w:eastAsia="zh-CN"/>
        </w:rPr>
        <w:t>室外污水工程设计</w:t>
      </w:r>
    </w:p>
    <w:p>
      <w:pPr>
        <w:bidi w:val="0"/>
        <w:rPr>
          <w:color w:val="auto"/>
        </w:rPr>
      </w:pPr>
      <w:r>
        <w:rPr>
          <w:rFonts w:hint="eastAsia"/>
          <w:color w:val="auto"/>
        </w:rPr>
        <w:t>1、室外采用生活污水与雨水分流制排水的管道系统，沿道路布置排水管道。</w:t>
      </w:r>
    </w:p>
    <w:p>
      <w:pPr>
        <w:bidi w:val="0"/>
        <w:rPr>
          <w:color w:val="auto"/>
        </w:rPr>
      </w:pPr>
      <w:r>
        <w:rPr>
          <w:rFonts w:hint="eastAsia"/>
          <w:color w:val="auto"/>
        </w:rPr>
        <w:t>2、生活污水排水量：按生活用水量的90%考虑，最高日</w:t>
      </w:r>
      <w:r>
        <w:rPr>
          <w:color w:val="auto"/>
        </w:rPr>
        <w:t>70.9</w:t>
      </w:r>
      <w:r>
        <w:rPr>
          <w:rFonts w:hint="eastAsia"/>
          <w:color w:val="auto"/>
        </w:rPr>
        <w:t>m3/d,最大小时</w:t>
      </w:r>
      <w:r>
        <w:rPr>
          <w:color w:val="auto"/>
        </w:rPr>
        <w:t>10.78</w:t>
      </w:r>
      <w:r>
        <w:rPr>
          <w:rFonts w:hint="eastAsia"/>
          <w:color w:val="auto"/>
        </w:rPr>
        <w:t>m3/h,平均小时</w:t>
      </w:r>
      <w:r>
        <w:rPr>
          <w:color w:val="auto"/>
        </w:rPr>
        <w:t>6.0</w:t>
      </w:r>
      <w:r>
        <w:rPr>
          <w:rFonts w:hint="eastAsia"/>
          <w:color w:val="auto"/>
        </w:rPr>
        <w:t>m3/h。</w:t>
      </w:r>
    </w:p>
    <w:p>
      <w:pPr>
        <w:bidi w:val="0"/>
        <w:rPr>
          <w:color w:val="auto"/>
        </w:rPr>
      </w:pPr>
      <w:r>
        <w:rPr>
          <w:rFonts w:hint="eastAsia"/>
          <w:color w:val="auto"/>
        </w:rPr>
        <w:t>3、粪便污水经化粪池处理后排入室外入城市污水排水系统；</w:t>
      </w:r>
    </w:p>
    <w:p>
      <w:pPr>
        <w:bidi w:val="0"/>
        <w:rPr>
          <w:color w:val="auto"/>
        </w:rPr>
      </w:pPr>
      <w:r>
        <w:rPr>
          <w:rFonts w:hint="eastAsia"/>
          <w:color w:val="auto"/>
        </w:rPr>
        <w:t>4、室外排水管道采用HDPE双壁波纹管，橡胶圈连接，车道下环刚度大于等于8kN/m2,非车行道下环刚度大于等于4KN/m2。</w:t>
      </w:r>
    </w:p>
    <w:p>
      <w:pPr>
        <w:bidi w:val="0"/>
        <w:rPr>
          <w:color w:val="auto"/>
        </w:rPr>
      </w:pPr>
      <w:r>
        <w:rPr>
          <w:rFonts w:hint="eastAsia"/>
          <w:color w:val="auto"/>
        </w:rPr>
        <w:t>5、污水检查井采用钢筋混凝土检查井，井盖带防坠网；井盖和盖座采用球墨铸铁井盖和井座，位于行车道上者为重型，位于非行车道上者为轻型，污水检查井。排水检查井应安装防坠落装置，防坠落装置应牢固可靠，承重能力不小于100kg。</w:t>
      </w:r>
    </w:p>
    <w:p>
      <w:pPr>
        <w:pStyle w:val="4"/>
        <w:bidi w:val="0"/>
        <w:rPr>
          <w:color w:val="auto"/>
          <w:lang w:val="en-US" w:eastAsia="zh-CN"/>
        </w:rPr>
      </w:pPr>
      <w:r>
        <w:rPr>
          <w:rFonts w:hint="eastAsia"/>
          <w:color w:val="auto"/>
          <w:lang w:val="en-US" w:eastAsia="zh-CN"/>
        </w:rPr>
        <w:t>室外雨水工程设计</w:t>
      </w:r>
    </w:p>
    <w:p>
      <w:pPr>
        <w:bidi w:val="0"/>
        <w:rPr>
          <w:color w:val="auto"/>
        </w:rPr>
      </w:pPr>
      <w:r>
        <w:rPr>
          <w:color w:val="auto"/>
        </w:rPr>
        <w:t>1、雨水量</w:t>
      </w:r>
    </w:p>
    <w:p>
      <w:pPr>
        <w:bidi w:val="0"/>
        <w:rPr>
          <w:color w:val="auto"/>
        </w:rPr>
      </w:pPr>
      <w:r>
        <w:rPr>
          <w:color w:val="auto"/>
        </w:rPr>
        <w:t>1）岳阳市暴雨强度公式为：</w:t>
      </w:r>
    </w:p>
    <w:p>
      <w:pPr>
        <w:bidi w:val="0"/>
        <w:rPr>
          <w:color w:val="auto"/>
        </w:rPr>
      </w:pPr>
      <w:r>
        <w:rPr>
          <w:color w:val="auto"/>
        </w:rPr>
        <w:t>q=1201.291(1+0.819lgP)/(t+7.3)^0.589(L/s·104m2)Q=Ψ·q·F</w:t>
      </w:r>
    </w:p>
    <w:p>
      <w:pPr>
        <w:bidi w:val="0"/>
        <w:rPr>
          <w:color w:val="auto"/>
        </w:rPr>
      </w:pPr>
      <w:r>
        <w:rPr>
          <w:color w:val="auto"/>
        </w:rPr>
        <w:t>式中：Q——雨水排水量（L/s）；</w:t>
      </w:r>
    </w:p>
    <w:p>
      <w:pPr>
        <w:bidi w:val="0"/>
        <w:rPr>
          <w:color w:val="auto"/>
        </w:rPr>
      </w:pPr>
      <w:r>
        <w:rPr>
          <w:color w:val="auto"/>
        </w:rPr>
        <w:t>q—降雨强度（L/S·104m2）；</w:t>
      </w:r>
    </w:p>
    <w:p>
      <w:pPr>
        <w:bidi w:val="0"/>
        <w:rPr>
          <w:color w:val="auto"/>
        </w:rPr>
      </w:pPr>
      <w:r>
        <w:rPr>
          <w:color w:val="auto"/>
        </w:rPr>
        <w:t>T——设计重现期；</w:t>
      </w:r>
    </w:p>
    <w:p>
      <w:pPr>
        <w:bidi w:val="0"/>
        <w:rPr>
          <w:color w:val="auto"/>
        </w:rPr>
      </w:pPr>
      <w:r>
        <w:rPr>
          <w:color w:val="auto"/>
        </w:rPr>
        <w:t>ψ一径流系数；</w:t>
      </w:r>
    </w:p>
    <w:p>
      <w:pPr>
        <w:bidi w:val="0"/>
        <w:rPr>
          <w:color w:val="auto"/>
        </w:rPr>
      </w:pPr>
      <w:r>
        <w:rPr>
          <w:color w:val="auto"/>
        </w:rPr>
        <w:t>F—汇水面积（m2）；</w:t>
      </w:r>
    </w:p>
    <w:p>
      <w:pPr>
        <w:bidi w:val="0"/>
        <w:rPr>
          <w:color w:val="auto"/>
        </w:rPr>
      </w:pPr>
      <w:r>
        <w:rPr>
          <w:color w:val="auto"/>
        </w:rPr>
        <w:t>t——降雨历时（分钟）。</w:t>
      </w:r>
    </w:p>
    <w:p>
      <w:pPr>
        <w:bidi w:val="0"/>
        <w:rPr>
          <w:color w:val="auto"/>
        </w:rPr>
      </w:pPr>
      <w:r>
        <w:rPr>
          <w:color w:val="auto"/>
        </w:rPr>
        <w:t>2）设计重现期，本工程取T=3年</w:t>
      </w:r>
    </w:p>
    <w:p>
      <w:pPr>
        <w:bidi w:val="0"/>
        <w:rPr>
          <w:color w:val="auto"/>
        </w:rPr>
      </w:pPr>
      <w:r>
        <w:rPr>
          <w:color w:val="auto"/>
        </w:rPr>
        <w:t>3）设计降雨历时：t=t1+t2（其中t1地面集水时间，t2地面集水时间，管渠内雨水流行时间）,t=10min</w:t>
      </w:r>
    </w:p>
    <w:p>
      <w:pPr>
        <w:bidi w:val="0"/>
        <w:rPr>
          <w:color w:val="auto"/>
        </w:rPr>
      </w:pPr>
      <w:r>
        <w:rPr>
          <w:color w:val="auto"/>
        </w:rPr>
        <w:t>4）地面综合径流系数：取ψ=0.5</w:t>
      </w:r>
    </w:p>
    <w:p>
      <w:pPr>
        <w:bidi w:val="0"/>
        <w:rPr>
          <w:color w:val="auto"/>
        </w:rPr>
      </w:pPr>
      <w:r>
        <w:rPr>
          <w:color w:val="auto"/>
        </w:rPr>
        <w:t>5）汇水面积：F</w:t>
      </w:r>
    </w:p>
    <w:p>
      <w:pPr>
        <w:bidi w:val="0"/>
        <w:rPr>
          <w:color w:val="auto"/>
        </w:rPr>
      </w:pPr>
      <w:r>
        <w:rPr>
          <w:color w:val="auto"/>
        </w:rPr>
        <w:t>6）雨水量：Q</w:t>
      </w:r>
    </w:p>
    <w:p>
      <w:pPr>
        <w:bidi w:val="0"/>
        <w:rPr>
          <w:color w:val="auto"/>
        </w:rPr>
      </w:pPr>
      <w:r>
        <w:rPr>
          <w:color w:val="auto"/>
        </w:rPr>
        <w:t>2、室外道路边适当位置设置平箅渗透式雨水口，收集道路雨水。建筑物室外设雨水井收集屋面雨水，</w:t>
      </w:r>
    </w:p>
    <w:p>
      <w:pPr>
        <w:bidi w:val="0"/>
        <w:rPr>
          <w:color w:val="auto"/>
        </w:rPr>
      </w:pPr>
      <w:r>
        <w:rPr>
          <w:color w:val="auto"/>
        </w:rPr>
        <w:t>3、雨水管采用HDPE双壁波纹管，橡胶圈连接，车道下环刚度大于等于8kN/m2，非车行道下环刚度大于等于4KN/m2。</w:t>
      </w:r>
    </w:p>
    <w:p>
      <w:pPr>
        <w:bidi w:val="0"/>
        <w:rPr>
          <w:color w:val="auto"/>
        </w:rPr>
      </w:pPr>
      <w:r>
        <w:rPr>
          <w:color w:val="auto"/>
        </w:rPr>
        <w:t>4、雨水检查井采用钢筋混凝土检查井，井盖带防坠网；井盖和盖座采用球墨铸铁井盖和井座，位于行车道上者为重型，位于非行车道上者为轻型。排水检查井应安装防坠落装置，防坠落装置应牢固可靠，承重能力不小于100kg。</w:t>
      </w:r>
    </w:p>
    <w:p>
      <w:pPr>
        <w:pStyle w:val="3"/>
        <w:bidi w:val="0"/>
        <w:rPr>
          <w:color w:val="auto"/>
          <w:lang w:val="en-US" w:eastAsia="zh-CN"/>
        </w:rPr>
      </w:pPr>
      <w:r>
        <w:rPr>
          <w:color w:val="auto"/>
          <w:lang w:val="en-US" w:eastAsia="zh-CN"/>
        </w:rPr>
        <w:t>室内给水排水工程</w:t>
      </w:r>
    </w:p>
    <w:p>
      <w:pPr>
        <w:pStyle w:val="4"/>
        <w:bidi w:val="0"/>
        <w:rPr>
          <w:color w:val="auto"/>
          <w:lang w:val="en-US" w:eastAsia="zh-CN"/>
        </w:rPr>
      </w:pPr>
      <w:r>
        <w:rPr>
          <w:color w:val="auto"/>
          <w:lang w:val="en-US" w:eastAsia="zh-CN"/>
        </w:rPr>
        <w:t>生活给水系统</w:t>
      </w:r>
    </w:p>
    <w:p>
      <w:pPr>
        <w:bidi w:val="0"/>
        <w:rPr>
          <w:color w:val="auto"/>
        </w:rPr>
      </w:pPr>
      <w:r>
        <w:rPr>
          <w:color w:val="auto"/>
        </w:rPr>
        <w:t>1、</w:t>
      </w:r>
      <w:r>
        <w:rPr>
          <w:rFonts w:hint="eastAsia"/>
          <w:color w:val="auto"/>
        </w:rPr>
        <w:t>生活用水量：最高日</w:t>
      </w:r>
      <w:r>
        <w:rPr>
          <w:color w:val="auto"/>
        </w:rPr>
        <w:t>78.76</w:t>
      </w:r>
      <w:r>
        <w:rPr>
          <w:rFonts w:hint="eastAsia"/>
          <w:color w:val="auto"/>
        </w:rPr>
        <w:t>m3/d，最大小时</w:t>
      </w:r>
      <w:r>
        <w:rPr>
          <w:color w:val="auto"/>
        </w:rPr>
        <w:t>11.96</w:t>
      </w:r>
      <w:r>
        <w:rPr>
          <w:rFonts w:hint="eastAsia"/>
          <w:color w:val="auto"/>
        </w:rPr>
        <w:t>m3/h，平均小时</w:t>
      </w:r>
      <w:r>
        <w:rPr>
          <w:color w:val="auto"/>
        </w:rPr>
        <w:t>6.71</w:t>
      </w:r>
      <w:r>
        <w:rPr>
          <w:rFonts w:hint="eastAsia"/>
          <w:color w:val="auto"/>
        </w:rPr>
        <w:t xml:space="preserve"> m3/h</w:t>
      </w:r>
      <w:r>
        <w:rPr>
          <w:color w:val="auto"/>
        </w:rPr>
        <w:t>。</w:t>
      </w:r>
    </w:p>
    <w:p>
      <w:pPr>
        <w:bidi w:val="0"/>
        <w:rPr>
          <w:color w:val="auto"/>
        </w:rPr>
      </w:pPr>
      <w:r>
        <w:rPr>
          <w:color w:val="auto"/>
        </w:rPr>
        <w:t>2、给水系统</w:t>
      </w:r>
    </w:p>
    <w:p>
      <w:pPr>
        <w:bidi w:val="0"/>
        <w:rPr>
          <w:color w:val="auto"/>
        </w:rPr>
      </w:pPr>
      <w:r>
        <w:rPr>
          <w:color w:val="auto"/>
        </w:rPr>
        <w:t>室外采用生活消防共用给水系统，室外供水主干管管径为DN150。绝对标高48.5m处市政压力0.35mpa。本工程所有楼栋及消防水池均由市政管网直接供水。宿舍楼采用上行下给。公共用水分别设水表计量。</w:t>
      </w:r>
    </w:p>
    <w:p>
      <w:pPr>
        <w:bidi w:val="0"/>
        <w:rPr>
          <w:color w:val="auto"/>
        </w:rPr>
      </w:pPr>
      <w:r>
        <w:rPr>
          <w:color w:val="auto"/>
        </w:rPr>
        <w:t>3、选用节水型低噪音的卫生洁具和给排水配件、管材。</w:t>
      </w:r>
    </w:p>
    <w:p>
      <w:pPr>
        <w:bidi w:val="0"/>
        <w:rPr>
          <w:color w:val="auto"/>
        </w:rPr>
      </w:pPr>
      <w:r>
        <w:rPr>
          <w:color w:val="auto"/>
        </w:rPr>
        <w:t>4、卫生间采用光电感应式水嘴和水冲式坐便器冲洗装置。</w:t>
      </w:r>
    </w:p>
    <w:p>
      <w:pPr>
        <w:bidi w:val="0"/>
        <w:rPr>
          <w:color w:val="auto"/>
        </w:rPr>
      </w:pPr>
      <w:r>
        <w:rPr>
          <w:color w:val="auto"/>
        </w:rPr>
        <w:t>5、管材：室内生活给水管干管及立管采用内衬塑钢管，卡箍或丝扣连接；室内生活给水支管采用PP-R管（S5级），热熔连接。生活给水干管及立管管道及配件公称压力：1.60MPa。</w:t>
      </w:r>
    </w:p>
    <w:p>
      <w:pPr>
        <w:pStyle w:val="4"/>
        <w:bidi w:val="0"/>
        <w:rPr>
          <w:color w:val="auto"/>
          <w:lang w:val="en-US" w:eastAsia="zh-CN"/>
        </w:rPr>
      </w:pPr>
      <w:r>
        <w:rPr>
          <w:color w:val="auto"/>
          <w:lang w:val="en-US" w:eastAsia="zh-CN"/>
        </w:rPr>
        <w:t>生活污、废水系统</w:t>
      </w:r>
    </w:p>
    <w:p>
      <w:pPr>
        <w:bidi w:val="0"/>
        <w:rPr>
          <w:color w:val="auto"/>
        </w:rPr>
      </w:pPr>
      <w:r>
        <w:rPr>
          <w:color w:val="auto"/>
        </w:rPr>
        <w:t>1、生活污水系统</w:t>
      </w:r>
    </w:p>
    <w:p>
      <w:pPr>
        <w:bidi w:val="0"/>
        <w:rPr>
          <w:color w:val="auto"/>
        </w:rPr>
      </w:pPr>
      <w:r>
        <w:rPr>
          <w:color w:val="auto"/>
        </w:rPr>
        <w:t>生活污水排水量,按生活用水量的90%考虑，</w:t>
      </w:r>
      <w:r>
        <w:rPr>
          <w:rFonts w:hint="eastAsia"/>
          <w:color w:val="auto"/>
        </w:rPr>
        <w:t>按生活用水量的90%考虑，最高日</w:t>
      </w:r>
      <w:r>
        <w:rPr>
          <w:color w:val="auto"/>
        </w:rPr>
        <w:t>70.9</w:t>
      </w:r>
      <w:r>
        <w:rPr>
          <w:rFonts w:hint="eastAsia"/>
          <w:color w:val="auto"/>
        </w:rPr>
        <w:t>m3/d,最大小时</w:t>
      </w:r>
      <w:r>
        <w:rPr>
          <w:color w:val="auto"/>
        </w:rPr>
        <w:t>10.78</w:t>
      </w:r>
      <w:r>
        <w:rPr>
          <w:rFonts w:hint="eastAsia"/>
          <w:color w:val="auto"/>
        </w:rPr>
        <w:t>m3/h,平均小时</w:t>
      </w:r>
      <w:r>
        <w:rPr>
          <w:color w:val="auto"/>
        </w:rPr>
        <w:t>6.0</w:t>
      </w:r>
      <w:r>
        <w:rPr>
          <w:rFonts w:hint="eastAsia"/>
          <w:color w:val="auto"/>
        </w:rPr>
        <w:t>m3/h。</w:t>
      </w:r>
    </w:p>
    <w:p>
      <w:pPr>
        <w:bidi w:val="0"/>
        <w:rPr>
          <w:color w:val="auto"/>
        </w:rPr>
      </w:pPr>
      <w:r>
        <w:rPr>
          <w:color w:val="auto"/>
        </w:rPr>
        <w:t>1)室内生活污废水经化粪池处理后排至市政污水管道，生活污水排水管采用PVC-U排水管，承插粘接。</w:t>
      </w:r>
    </w:p>
    <w:p>
      <w:pPr>
        <w:bidi w:val="0"/>
        <w:rPr>
          <w:color w:val="auto"/>
        </w:rPr>
      </w:pPr>
      <w:r>
        <w:rPr>
          <w:color w:val="auto"/>
        </w:rPr>
        <w:t>2）室内地面层（±0.000m）以上的生活污水重力流排出；地面层（0.000m）以下的污水采用管道汇集至集水坑内，用潜水排污泵提升后、排入室外污水管道；废水采用排水沟汇集至集水坑内，用潜水排污泵提升后排至室外雨水管道。</w:t>
      </w:r>
    </w:p>
    <w:p>
      <w:pPr>
        <w:bidi w:val="0"/>
        <w:rPr>
          <w:color w:val="auto"/>
        </w:rPr>
      </w:pPr>
      <w:r>
        <w:rPr>
          <w:color w:val="auto"/>
        </w:rPr>
        <w:t>4)阳台雨水与空调机冷凝水均采用管道有组织排入室外散水明沟。</w:t>
      </w:r>
    </w:p>
    <w:p>
      <w:pPr>
        <w:bidi w:val="0"/>
        <w:rPr>
          <w:color w:val="auto"/>
        </w:rPr>
      </w:pPr>
      <w:r>
        <w:rPr>
          <w:color w:val="auto"/>
        </w:rPr>
        <w:t>5）设备房消防电梯集水坑采用潜污泵排水排入室外雨水系统。</w:t>
      </w:r>
    </w:p>
    <w:p>
      <w:pPr>
        <w:bidi w:val="0"/>
        <w:rPr>
          <w:color w:val="auto"/>
        </w:rPr>
      </w:pPr>
      <w:r>
        <w:rPr>
          <w:color w:val="auto"/>
        </w:rPr>
        <w:t>2、屋面雨水排水系统</w:t>
      </w:r>
    </w:p>
    <w:p>
      <w:pPr>
        <w:bidi w:val="0"/>
        <w:rPr>
          <w:color w:val="auto"/>
        </w:rPr>
      </w:pPr>
      <w:r>
        <w:rPr>
          <w:color w:val="auto"/>
        </w:rPr>
        <w:t>暴雨强度公式与室外雨水排水设计相同，详第四节。</w:t>
      </w:r>
    </w:p>
    <w:p>
      <w:pPr>
        <w:bidi w:val="0"/>
        <w:rPr>
          <w:color w:val="auto"/>
        </w:rPr>
      </w:pPr>
      <w:r>
        <w:rPr>
          <w:color w:val="auto"/>
        </w:rPr>
        <w:t>设计参数：</w:t>
      </w:r>
    </w:p>
    <w:p>
      <w:pPr>
        <w:bidi w:val="0"/>
        <w:rPr>
          <w:color w:val="auto"/>
        </w:rPr>
      </w:pPr>
      <w:r>
        <w:rPr>
          <w:color w:val="auto"/>
        </w:rPr>
        <w:t>1）设计降雨历时：t=5min</w:t>
      </w:r>
    </w:p>
    <w:p>
      <w:pPr>
        <w:bidi w:val="0"/>
        <w:rPr>
          <w:color w:val="auto"/>
        </w:rPr>
      </w:pPr>
      <w:r>
        <w:rPr>
          <w:color w:val="auto"/>
        </w:rPr>
        <w:t>2）设计重现期：P=3a；安全溢流口设计重现期：P=50a</w:t>
      </w:r>
    </w:p>
    <w:p>
      <w:pPr>
        <w:bidi w:val="0"/>
        <w:rPr>
          <w:color w:val="auto"/>
        </w:rPr>
      </w:pPr>
      <w:r>
        <w:rPr>
          <w:color w:val="auto"/>
        </w:rPr>
        <w:t>3）屋面径流系数：ψ=0.9</w:t>
      </w:r>
    </w:p>
    <w:p>
      <w:pPr>
        <w:bidi w:val="0"/>
        <w:rPr>
          <w:color w:val="auto"/>
        </w:rPr>
      </w:pPr>
      <w:r>
        <w:rPr>
          <w:color w:val="auto"/>
        </w:rPr>
        <w:t>3屋面雨水采用重力流雨水排水系统。屋面雨水由87型雨水斗收集经雨水管道排至室外雨水口或雨水检查井。</w:t>
      </w:r>
    </w:p>
    <w:p>
      <w:pPr>
        <w:bidi w:val="0"/>
        <w:rPr>
          <w:color w:val="auto"/>
        </w:rPr>
      </w:pPr>
      <w:r>
        <w:rPr>
          <w:color w:val="auto"/>
        </w:rPr>
        <w:t>4雨水管采用PVC-U承压塑料排水管，承插连接，溶接剂接口。</w:t>
      </w:r>
    </w:p>
    <w:p>
      <w:pPr>
        <w:pStyle w:val="4"/>
        <w:bidi w:val="0"/>
        <w:rPr>
          <w:color w:val="auto"/>
          <w:lang w:val="en-US" w:eastAsia="zh-CN"/>
        </w:rPr>
      </w:pPr>
      <w:r>
        <w:rPr>
          <w:color w:val="auto"/>
          <w:lang w:val="en-US" w:eastAsia="zh-CN"/>
        </w:rPr>
        <w:t>室内消防工程设计</w:t>
      </w:r>
    </w:p>
    <w:p>
      <w:pPr>
        <w:bidi w:val="0"/>
        <w:rPr>
          <w:color w:val="auto"/>
        </w:rPr>
      </w:pPr>
      <w:r>
        <w:rPr>
          <w:color w:val="auto"/>
        </w:rPr>
        <w:t>1、消防水源及消防用水量</w:t>
      </w:r>
    </w:p>
    <w:p>
      <w:pPr>
        <w:bidi w:val="0"/>
        <w:rPr>
          <w:color w:val="auto"/>
        </w:rPr>
      </w:pPr>
      <w:r>
        <w:rPr>
          <w:color w:val="auto"/>
        </w:rPr>
        <w:t>1）</w:t>
      </w:r>
      <w:r>
        <w:rPr>
          <w:color w:val="auto"/>
        </w:rPr>
        <w:tab/>
      </w:r>
      <w:r>
        <w:rPr>
          <w:color w:val="auto"/>
        </w:rPr>
        <w:t>消防水源</w:t>
      </w:r>
    </w:p>
    <w:p>
      <w:pPr>
        <w:bidi w:val="0"/>
        <w:rPr>
          <w:color w:val="auto"/>
        </w:rPr>
      </w:pPr>
      <w:r>
        <w:rPr>
          <w:color w:val="auto"/>
        </w:rPr>
        <w:t>采用城市自来水为供水水源。</w:t>
      </w:r>
    </w:p>
    <w:p>
      <w:pPr>
        <w:bidi w:val="0"/>
        <w:rPr>
          <w:color w:val="auto"/>
        </w:rPr>
      </w:pPr>
      <w:r>
        <w:rPr>
          <w:color w:val="auto"/>
        </w:rPr>
        <w:t>2）消防用水量：室外消火栓系统设计流量为25L/s,室内消火栓系统设计流量为15L/s,火灾延续时间为2h；扑灭一次火灾用水量为288立方米。</w:t>
      </w:r>
    </w:p>
    <w:p>
      <w:pPr>
        <w:bidi w:val="0"/>
        <w:rPr>
          <w:color w:val="auto"/>
        </w:rPr>
      </w:pPr>
      <w:r>
        <w:rPr>
          <w:color w:val="auto"/>
        </w:rPr>
        <w:t>2、项目</w:t>
      </w:r>
      <w:r>
        <w:rPr>
          <w:rFonts w:hint="eastAsia"/>
          <w:color w:val="auto"/>
        </w:rPr>
        <w:t>东</w:t>
      </w:r>
      <w:r>
        <w:rPr>
          <w:color w:val="auto"/>
        </w:rPr>
        <w:t>北侧设置消防水泵房及288立方消防水池，另在3#</w:t>
      </w:r>
      <w:r>
        <w:rPr>
          <w:rFonts w:hint="eastAsia"/>
          <w:color w:val="auto"/>
        </w:rPr>
        <w:t>厂房</w:t>
      </w:r>
      <w:r>
        <w:rPr>
          <w:color w:val="auto"/>
        </w:rPr>
        <w:t>屋顶</w:t>
      </w:r>
      <w:r>
        <w:rPr>
          <w:rFonts w:hint="eastAsia"/>
          <w:color w:val="auto"/>
        </w:rPr>
        <w:t>设置</w:t>
      </w:r>
      <w:r>
        <w:rPr>
          <w:color w:val="auto"/>
        </w:rPr>
        <w:t>18立方消防水箱，</w:t>
      </w:r>
      <w:r>
        <w:rPr>
          <w:rFonts w:hint="eastAsia"/>
          <w:color w:val="auto"/>
        </w:rPr>
        <w:t>高位水箱最低有效水位满足</w:t>
      </w:r>
      <w:r>
        <w:rPr>
          <w:color w:val="auto"/>
        </w:rPr>
        <w:t>最不利点消火栓栓口静压不小于7m的要求。</w:t>
      </w:r>
    </w:p>
    <w:p>
      <w:pPr>
        <w:bidi w:val="0"/>
        <w:rPr>
          <w:color w:val="auto"/>
        </w:rPr>
      </w:pPr>
      <w:r>
        <w:rPr>
          <w:color w:val="auto"/>
        </w:rPr>
        <w:t>3、室内消火栓系统</w:t>
      </w:r>
    </w:p>
    <w:p>
      <w:pPr>
        <w:bidi w:val="0"/>
        <w:rPr>
          <w:color w:val="auto"/>
        </w:rPr>
      </w:pPr>
      <w:r>
        <w:rPr>
          <w:color w:val="auto"/>
        </w:rPr>
        <w:t>1）本工程厂房为丁类，可燃物较少，可不设置室内消火栓系统，各栋厂房均已设置消防软管卷盘。宿舍楼、办公楼设置室内消火栓系统，属临时高压制，管道成环状布置。</w:t>
      </w:r>
    </w:p>
    <w:p>
      <w:pPr>
        <w:bidi w:val="0"/>
        <w:rPr>
          <w:color w:val="auto"/>
        </w:rPr>
      </w:pPr>
      <w:r>
        <w:rPr>
          <w:color w:val="auto"/>
        </w:rPr>
        <w:t>2）宿舍楼、办公楼每层设消火栓，其布置保证同一平面2股充实水柱同时达到任何部位。消防水枪的充实水柱为13m。</w:t>
      </w:r>
    </w:p>
    <w:p>
      <w:pPr>
        <w:bidi w:val="0"/>
        <w:rPr>
          <w:color w:val="auto"/>
        </w:rPr>
      </w:pPr>
      <w:r>
        <w:rPr>
          <w:color w:val="auto"/>
        </w:rPr>
        <w:t>3）消火栓箱内配置DN65消火栓一个、DN65的L25m麻质衬胶水带一条、DN65X019直流水枪一支、消防报警按钮和指示灯各一只。室内消火栓增设消防软管卷盘，型号为JPS1.0-19。</w:t>
      </w:r>
    </w:p>
    <w:p>
      <w:pPr>
        <w:bidi w:val="0"/>
        <w:rPr>
          <w:color w:val="auto"/>
        </w:rPr>
      </w:pPr>
      <w:r>
        <w:rPr>
          <w:color w:val="auto"/>
        </w:rPr>
        <w:t>4）建筑物消防扑救面设置设地上式消防水泵接合器，消防水泵接合器周围40米范围内设室外消火栓。</w:t>
      </w:r>
    </w:p>
    <w:p>
      <w:pPr>
        <w:bidi w:val="0"/>
        <w:rPr>
          <w:color w:val="auto"/>
        </w:rPr>
      </w:pPr>
      <w:r>
        <w:rPr>
          <w:color w:val="auto"/>
        </w:rPr>
        <w:t>5）系统控制</w:t>
      </w:r>
    </w:p>
    <w:p>
      <w:pPr>
        <w:bidi w:val="0"/>
        <w:rPr>
          <w:color w:val="auto"/>
        </w:rPr>
      </w:pPr>
      <w:r>
        <w:rPr>
          <w:color w:val="auto"/>
        </w:rPr>
        <w:t>消火栓系统出水干管上设置的低压压力开关、高位消防水箱出水管上设置的流量开关作为触发信号，直接控制启动消火栓泵；消火栓按钮同时作为动作报警信号及启动消火栓泵的联动触发信号，由消防联动控制器联动控制消火栓泵的启动。</w:t>
      </w:r>
    </w:p>
    <w:p>
      <w:pPr>
        <w:bidi w:val="0"/>
        <w:rPr>
          <w:color w:val="auto"/>
        </w:rPr>
      </w:pPr>
      <w:r>
        <w:rPr>
          <w:color w:val="auto"/>
        </w:rPr>
        <w:t>手动控制:将消火栓泵控制箱（柜）的启动、停止按钮用专用线路直接连接至设置在消防控制室内的消防联动控制器的手动控制盘，并直接手动控制消火栓泵的启动、停止。</w:t>
      </w:r>
    </w:p>
    <w:p>
      <w:pPr>
        <w:bidi w:val="0"/>
        <w:rPr>
          <w:color w:val="auto"/>
        </w:rPr>
      </w:pPr>
      <w:r>
        <w:rPr>
          <w:color w:val="auto"/>
        </w:rPr>
        <w:t>消火栓泵的动作信号同时反馈至消防联动控制器。</w:t>
      </w:r>
    </w:p>
    <w:p>
      <w:pPr>
        <w:bidi w:val="0"/>
        <w:rPr>
          <w:color w:val="auto"/>
        </w:rPr>
      </w:pPr>
      <w:r>
        <w:rPr>
          <w:color w:val="auto"/>
        </w:rPr>
        <w:t>6）管材：室内消火栓给水管采用热浸锌镀锌钢管，管道及配件公称压力为1.6MPa。管径DN&lt;50mm者采用丝扣连接，DN&gt;50mm者采用沟槽式卡箍连接。</w:t>
      </w:r>
    </w:p>
    <w:p>
      <w:pPr>
        <w:bidi w:val="0"/>
        <w:rPr>
          <w:color w:val="auto"/>
        </w:rPr>
      </w:pPr>
      <w:r>
        <w:rPr>
          <w:color w:val="auto"/>
        </w:rPr>
        <w:t>5、移动式灭火装置</w:t>
      </w:r>
    </w:p>
    <w:p>
      <w:pPr>
        <w:bidi w:val="0"/>
        <w:rPr>
          <w:color w:val="auto"/>
        </w:rPr>
      </w:pPr>
      <w:r>
        <w:rPr>
          <w:color w:val="auto"/>
        </w:rPr>
        <w:t>据《建筑灭火器配置设计规范》（GB50140－2005）规定，本工程建筑灭火器配置如下：</w:t>
      </w:r>
    </w:p>
    <w:p>
      <w:pPr>
        <w:bidi w:val="0"/>
        <w:rPr>
          <w:color w:val="auto"/>
        </w:rPr>
      </w:pPr>
      <w:r>
        <w:rPr>
          <w:color w:val="auto"/>
        </w:rPr>
        <w:t>本项目丁类厂房按A类轻危险级设置手提式磷酸铵盐干粉灭火器灭火器,办公楼按A类中危险级设置手提式磷酸铵盐干粉灭火器灭火器；每具灭火级别2A，每处布置两个，灭火剂充装量4Kg。宿舍楼按A类严重危险级设置手提式磷酸铵盐干粉灭火器最大保护距离为15m。配电间等电气用房按E类严重危险级设置手提式磷酸铵盐干粉灭火器灭火器，每具灭火级别3A，灭火剂充装量5Kg，灭火器最大保护距离为9m。本施工图中，仅示意灭火器的型号、数量与大致设置位置，施工单位可根据规范及现场的实际情况，对灭火器的设置作相应调整，但应满足《建筑灭火器配置设计规范》（GB50140-2005）对灭火器保护半径的要求，超过保护范围的在明显和便于取用的地点增设灭火器。灭火器设在消防箱内或灭火器箱内，灭火器箱不得上锁。</w:t>
      </w:r>
    </w:p>
    <w:p>
      <w:pPr>
        <w:bidi w:val="0"/>
        <w:rPr>
          <w:color w:val="auto"/>
        </w:rPr>
      </w:pPr>
      <w:r>
        <w:rPr>
          <w:color w:val="auto"/>
        </w:rPr>
        <w:t>6、气体灭火系统</w:t>
      </w:r>
    </w:p>
    <w:p>
      <w:pPr>
        <w:bidi w:val="0"/>
        <w:rPr>
          <w:color w:val="auto"/>
        </w:rPr>
      </w:pPr>
      <w:r>
        <w:rPr>
          <w:color w:val="auto"/>
        </w:rPr>
        <w:t>1）配电室设置七氟丙烷无管网自动灭火系统，设计浓度为9%，灭火剂喷放时间不超过10s，由箱式气体灭火装置与火灾探测器、气体灭火报警控制器等组成。</w:t>
      </w:r>
    </w:p>
    <w:p>
      <w:pPr>
        <w:bidi w:val="0"/>
        <w:rPr>
          <w:color w:val="auto"/>
        </w:rPr>
      </w:pPr>
      <w:r>
        <w:rPr>
          <w:color w:val="auto"/>
        </w:rPr>
        <w:t>2）系统设计基本参数详见表4。</w:t>
      </w:r>
    </w:p>
    <w:p>
      <w:pPr>
        <w:bidi w:val="0"/>
        <w:rPr>
          <w:rFonts w:hint="eastAsia"/>
          <w:color w:val="auto"/>
        </w:rPr>
      </w:pPr>
      <w:r>
        <w:rPr>
          <w:color w:val="auto"/>
        </w:rPr>
        <w:t>气体灭火系统参数表</w:t>
      </w:r>
    </w:p>
    <w:tbl>
      <w:tblPr>
        <w:tblStyle w:val="14"/>
        <w:tblW w:w="9936"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418"/>
        <w:gridCol w:w="1772"/>
        <w:gridCol w:w="1488"/>
        <w:gridCol w:w="1487"/>
        <w:gridCol w:w="1644"/>
        <w:gridCol w:w="212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4" w:hRule="atLeast"/>
        </w:trPr>
        <w:tc>
          <w:tcPr>
            <w:tcW w:w="1418" w:type="dxa"/>
          </w:tcPr>
          <w:p>
            <w:pPr>
              <w:pStyle w:val="17"/>
              <w:bidi w:val="0"/>
              <w:rPr>
                <w:color w:val="auto"/>
                <w:lang w:eastAsia="zh-CN"/>
              </w:rPr>
            </w:pPr>
            <w:r>
              <w:rPr>
                <w:rFonts w:hint="eastAsia"/>
                <w:color w:val="auto"/>
              </w:rPr>
              <w:t>名称</w:t>
            </w:r>
          </w:p>
        </w:tc>
        <w:tc>
          <w:tcPr>
            <w:tcW w:w="1772" w:type="dxa"/>
          </w:tcPr>
          <w:p>
            <w:pPr>
              <w:pStyle w:val="17"/>
              <w:bidi w:val="0"/>
              <w:rPr>
                <w:color w:val="auto"/>
                <w:lang w:eastAsia="zh-CN"/>
              </w:rPr>
            </w:pPr>
            <w:r>
              <w:rPr>
                <w:rFonts w:hint="eastAsia"/>
                <w:color w:val="auto"/>
              </w:rPr>
              <w:t>防护区面积</w:t>
            </w:r>
          </w:p>
        </w:tc>
        <w:tc>
          <w:tcPr>
            <w:tcW w:w="1488" w:type="dxa"/>
          </w:tcPr>
          <w:p>
            <w:pPr>
              <w:pStyle w:val="17"/>
              <w:bidi w:val="0"/>
              <w:rPr>
                <w:color w:val="auto"/>
                <w:lang w:eastAsia="zh-CN"/>
              </w:rPr>
            </w:pPr>
            <w:r>
              <w:rPr>
                <w:rFonts w:hint="eastAsia"/>
                <w:color w:val="auto"/>
              </w:rPr>
              <w:t>净高</w:t>
            </w:r>
          </w:p>
        </w:tc>
        <w:tc>
          <w:tcPr>
            <w:tcW w:w="1487" w:type="dxa"/>
          </w:tcPr>
          <w:p>
            <w:pPr>
              <w:pStyle w:val="17"/>
              <w:bidi w:val="0"/>
              <w:rPr>
                <w:color w:val="auto"/>
                <w:lang w:eastAsia="zh-CN"/>
              </w:rPr>
            </w:pPr>
            <w:r>
              <w:rPr>
                <w:rFonts w:hint="eastAsia"/>
                <w:color w:val="auto"/>
              </w:rPr>
              <w:t>计算用量(</w:t>
            </w:r>
            <w:r>
              <w:rPr>
                <w:color w:val="auto"/>
              </w:rPr>
              <w:t>Kg)</w:t>
            </w:r>
          </w:p>
        </w:tc>
        <w:tc>
          <w:tcPr>
            <w:tcW w:w="1644" w:type="dxa"/>
          </w:tcPr>
          <w:p>
            <w:pPr>
              <w:pStyle w:val="17"/>
              <w:bidi w:val="0"/>
              <w:rPr>
                <w:color w:val="auto"/>
                <w:lang w:eastAsia="zh-CN"/>
              </w:rPr>
            </w:pPr>
            <w:r>
              <w:rPr>
                <w:rFonts w:hint="eastAsia"/>
                <w:color w:val="auto"/>
              </w:rPr>
              <w:t>实际用量(</w:t>
            </w:r>
            <w:r>
              <w:rPr>
                <w:color w:val="auto"/>
              </w:rPr>
              <w:t>Kg)</w:t>
            </w:r>
          </w:p>
        </w:tc>
        <w:tc>
          <w:tcPr>
            <w:tcW w:w="2127" w:type="dxa"/>
          </w:tcPr>
          <w:p>
            <w:pPr>
              <w:pStyle w:val="17"/>
              <w:bidi w:val="0"/>
              <w:rPr>
                <w:color w:val="auto"/>
                <w:lang w:eastAsia="zh-CN"/>
              </w:rPr>
            </w:pPr>
            <w:r>
              <w:rPr>
                <w:rFonts w:hint="eastAsia"/>
                <w:color w:val="auto"/>
              </w:rPr>
              <w:t>泄压口面积（m</w:t>
            </w:r>
            <w:r>
              <w:rPr>
                <w:color w:val="auto"/>
              </w:rPr>
              <w:t>2</w:t>
            </w:r>
            <w:r>
              <w:rPr>
                <w:rFonts w:hint="eastAsia"/>
                <w:color w:val="auto"/>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5" w:hRule="atLeast"/>
        </w:trPr>
        <w:tc>
          <w:tcPr>
            <w:tcW w:w="1418" w:type="dxa"/>
          </w:tcPr>
          <w:p>
            <w:pPr>
              <w:pStyle w:val="17"/>
              <w:bidi w:val="0"/>
              <w:rPr>
                <w:color w:val="auto"/>
                <w:lang w:eastAsia="zh-CN"/>
              </w:rPr>
            </w:pPr>
            <w:r>
              <w:rPr>
                <w:rFonts w:hint="eastAsia"/>
                <w:color w:val="auto"/>
              </w:rPr>
              <w:t>配电房（设备房）</w:t>
            </w:r>
          </w:p>
        </w:tc>
        <w:tc>
          <w:tcPr>
            <w:tcW w:w="1772" w:type="dxa"/>
          </w:tcPr>
          <w:p>
            <w:pPr>
              <w:pStyle w:val="17"/>
              <w:bidi w:val="0"/>
              <w:rPr>
                <w:color w:val="auto"/>
                <w:lang w:eastAsia="zh-CN"/>
              </w:rPr>
            </w:pPr>
            <w:r>
              <w:rPr>
                <w:color w:val="auto"/>
              </w:rPr>
              <w:t>103</w:t>
            </w:r>
          </w:p>
        </w:tc>
        <w:tc>
          <w:tcPr>
            <w:tcW w:w="1488" w:type="dxa"/>
          </w:tcPr>
          <w:p>
            <w:pPr>
              <w:pStyle w:val="17"/>
              <w:bidi w:val="0"/>
              <w:rPr>
                <w:color w:val="auto"/>
                <w:lang w:eastAsia="zh-CN"/>
              </w:rPr>
            </w:pPr>
            <w:r>
              <w:rPr>
                <w:color w:val="auto"/>
              </w:rPr>
              <w:t>4.8</w:t>
            </w:r>
          </w:p>
        </w:tc>
        <w:tc>
          <w:tcPr>
            <w:tcW w:w="1487" w:type="dxa"/>
          </w:tcPr>
          <w:p>
            <w:pPr>
              <w:pStyle w:val="17"/>
              <w:bidi w:val="0"/>
              <w:rPr>
                <w:color w:val="auto"/>
                <w:lang w:eastAsia="zh-CN"/>
              </w:rPr>
            </w:pPr>
            <w:r>
              <w:rPr>
                <w:color w:val="auto"/>
              </w:rPr>
              <w:t>378</w:t>
            </w:r>
          </w:p>
        </w:tc>
        <w:tc>
          <w:tcPr>
            <w:tcW w:w="1644" w:type="dxa"/>
          </w:tcPr>
          <w:p>
            <w:pPr>
              <w:pStyle w:val="17"/>
              <w:bidi w:val="0"/>
              <w:rPr>
                <w:color w:val="auto"/>
                <w:lang w:eastAsia="zh-CN"/>
              </w:rPr>
            </w:pPr>
            <w:r>
              <w:rPr>
                <w:color w:val="auto"/>
              </w:rPr>
              <w:t>386</w:t>
            </w:r>
          </w:p>
        </w:tc>
        <w:tc>
          <w:tcPr>
            <w:tcW w:w="2127" w:type="dxa"/>
          </w:tcPr>
          <w:p>
            <w:pPr>
              <w:pStyle w:val="17"/>
              <w:bidi w:val="0"/>
              <w:rPr>
                <w:color w:val="auto"/>
                <w:lang w:eastAsia="zh-CN"/>
              </w:rPr>
            </w:pPr>
            <w:r>
              <w:rPr>
                <w:rFonts w:hint="eastAsia"/>
                <w:color w:val="auto"/>
              </w:rPr>
              <w:t>0</w:t>
            </w:r>
            <w:r>
              <w:rPr>
                <w:color w:val="auto"/>
              </w:rPr>
              <w:t>.16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7" w:hRule="atLeast"/>
        </w:trPr>
        <w:tc>
          <w:tcPr>
            <w:tcW w:w="1418" w:type="dxa"/>
          </w:tcPr>
          <w:p>
            <w:pPr>
              <w:pStyle w:val="17"/>
              <w:bidi w:val="0"/>
              <w:rPr>
                <w:color w:val="auto"/>
                <w:lang w:eastAsia="zh-CN"/>
              </w:rPr>
            </w:pPr>
            <w:r>
              <w:rPr>
                <w:rFonts w:hint="eastAsia"/>
                <w:color w:val="auto"/>
              </w:rPr>
              <w:t>配电房（厂房）</w:t>
            </w:r>
          </w:p>
        </w:tc>
        <w:tc>
          <w:tcPr>
            <w:tcW w:w="1772" w:type="dxa"/>
            <w:vAlign w:val="center"/>
          </w:tcPr>
          <w:p>
            <w:pPr>
              <w:pStyle w:val="17"/>
              <w:bidi w:val="0"/>
              <w:rPr>
                <w:color w:val="auto"/>
              </w:rPr>
            </w:pPr>
            <w:r>
              <w:rPr>
                <w:color w:val="auto"/>
              </w:rPr>
              <w:t>46.2</w:t>
            </w:r>
          </w:p>
        </w:tc>
        <w:tc>
          <w:tcPr>
            <w:tcW w:w="1488" w:type="dxa"/>
          </w:tcPr>
          <w:p>
            <w:pPr>
              <w:pStyle w:val="17"/>
              <w:bidi w:val="0"/>
              <w:rPr>
                <w:color w:val="auto"/>
                <w:lang w:eastAsia="zh-CN"/>
              </w:rPr>
            </w:pPr>
            <w:r>
              <w:rPr>
                <w:color w:val="auto"/>
              </w:rPr>
              <w:t>7.8</w:t>
            </w:r>
          </w:p>
        </w:tc>
        <w:tc>
          <w:tcPr>
            <w:tcW w:w="1487" w:type="dxa"/>
          </w:tcPr>
          <w:p>
            <w:pPr>
              <w:pStyle w:val="17"/>
              <w:bidi w:val="0"/>
              <w:rPr>
                <w:color w:val="auto"/>
                <w:lang w:eastAsia="zh-CN"/>
              </w:rPr>
            </w:pPr>
            <w:r>
              <w:rPr>
                <w:color w:val="auto"/>
              </w:rPr>
              <w:t>275.29</w:t>
            </w:r>
          </w:p>
        </w:tc>
        <w:tc>
          <w:tcPr>
            <w:tcW w:w="1644" w:type="dxa"/>
          </w:tcPr>
          <w:p>
            <w:pPr>
              <w:pStyle w:val="17"/>
              <w:bidi w:val="0"/>
              <w:rPr>
                <w:color w:val="auto"/>
                <w:lang w:eastAsia="zh-CN"/>
              </w:rPr>
            </w:pPr>
            <w:r>
              <w:rPr>
                <w:rFonts w:hint="eastAsia"/>
                <w:color w:val="auto"/>
              </w:rPr>
              <w:t>2</w:t>
            </w:r>
            <w:r>
              <w:rPr>
                <w:color w:val="auto"/>
              </w:rPr>
              <w:t>80.8</w:t>
            </w:r>
          </w:p>
        </w:tc>
        <w:tc>
          <w:tcPr>
            <w:tcW w:w="2127" w:type="dxa"/>
          </w:tcPr>
          <w:p>
            <w:pPr>
              <w:pStyle w:val="17"/>
              <w:bidi w:val="0"/>
              <w:rPr>
                <w:color w:val="auto"/>
                <w:lang w:eastAsia="zh-CN"/>
              </w:rPr>
            </w:pPr>
            <w:r>
              <w:rPr>
                <w:rFonts w:hint="eastAsia"/>
                <w:color w:val="auto"/>
              </w:rPr>
              <w:t>0</w:t>
            </w:r>
            <w:r>
              <w:rPr>
                <w:color w:val="auto"/>
              </w:rPr>
              <w:t>.12</w:t>
            </w:r>
          </w:p>
        </w:tc>
      </w:tr>
    </w:tbl>
    <w:p>
      <w:pPr>
        <w:bidi w:val="0"/>
        <w:rPr>
          <w:color w:val="auto"/>
        </w:rPr>
      </w:pPr>
      <w:r>
        <w:rPr>
          <w:color w:val="auto"/>
        </w:rPr>
        <w:t>3）防护区：</w:t>
      </w:r>
    </w:p>
    <w:p>
      <w:pPr>
        <w:bidi w:val="0"/>
        <w:rPr>
          <w:color w:val="auto"/>
        </w:rPr>
      </w:pPr>
      <w:r>
        <w:rPr>
          <w:color w:val="auto"/>
        </w:rPr>
        <w:t>（1）防护区的围护结构及门窗的耐火极限不低于0.5h，吊顶的耐火极限不低于0.25h；防护区的围护结构承受内压的允许压强不低于1200Pa。</w:t>
      </w:r>
    </w:p>
    <w:p>
      <w:pPr>
        <w:bidi w:val="0"/>
        <w:rPr>
          <w:color w:val="auto"/>
        </w:rPr>
      </w:pPr>
      <w:r>
        <w:rPr>
          <w:color w:val="auto"/>
        </w:rPr>
        <w:t>（2）防护区设置泄压口，泄压口位于防护区净高2/3以上。</w:t>
      </w:r>
    </w:p>
    <w:p>
      <w:pPr>
        <w:bidi w:val="0"/>
        <w:rPr>
          <w:color w:val="auto"/>
        </w:rPr>
      </w:pPr>
      <w:r>
        <w:rPr>
          <w:color w:val="auto"/>
        </w:rPr>
        <w:t>（3）喷放灭火剂前，除防护区内泄压口外的开口自行关闭。</w:t>
      </w:r>
    </w:p>
    <w:p>
      <w:pPr>
        <w:bidi w:val="0"/>
        <w:rPr>
          <w:color w:val="auto"/>
        </w:rPr>
      </w:pPr>
      <w:r>
        <w:rPr>
          <w:color w:val="auto"/>
        </w:rPr>
        <w:t>（4）防护区设通风装置，灭火后立即通风换气。</w:t>
      </w:r>
    </w:p>
    <w:p>
      <w:pPr>
        <w:bidi w:val="0"/>
        <w:rPr>
          <w:color w:val="auto"/>
        </w:rPr>
      </w:pPr>
      <w:r>
        <w:rPr>
          <w:color w:val="auto"/>
        </w:rPr>
        <w:t>4）系统控制：设有自动、手动两种启动方式，自动控制在接到两个（烟感、温感）独立的火灾信号后才能启动；在每个防护区疏散出口门外便于操作的地方设有自动控制和手动控制的转换装置，当人员进入防护区时，设定为手动控制，当人员离开时，设定为自动控制。</w:t>
      </w:r>
    </w:p>
    <w:p>
      <w:pPr>
        <w:pStyle w:val="3"/>
        <w:bidi w:val="0"/>
        <w:rPr>
          <w:color w:val="auto"/>
          <w:lang w:val="en-US" w:eastAsia="zh-CN"/>
        </w:rPr>
      </w:pPr>
      <w:r>
        <w:rPr>
          <w:color w:val="auto"/>
          <w:lang w:val="en-US" w:eastAsia="zh-CN"/>
        </w:rPr>
        <w:t>环保与节能、节水</w:t>
      </w:r>
    </w:p>
    <w:p>
      <w:pPr>
        <w:pStyle w:val="4"/>
        <w:bidi w:val="0"/>
        <w:rPr>
          <w:color w:val="auto"/>
          <w:lang w:val="en-US" w:eastAsia="zh-CN"/>
        </w:rPr>
      </w:pPr>
      <w:r>
        <w:rPr>
          <w:color w:val="auto"/>
          <w:lang w:val="en-US" w:eastAsia="zh-CN"/>
        </w:rPr>
        <w:t>节能措施：</w:t>
      </w:r>
    </w:p>
    <w:p>
      <w:pPr>
        <w:bidi w:val="0"/>
        <w:rPr>
          <w:color w:val="auto"/>
          <w:lang w:val="en-US" w:eastAsia="zh-CN"/>
        </w:rPr>
      </w:pPr>
      <w:r>
        <w:rPr>
          <w:color w:val="auto"/>
          <w:lang w:val="en-US" w:eastAsia="zh-CN"/>
        </w:rPr>
        <w:t>利用自来水直接供水。</w:t>
      </w:r>
    </w:p>
    <w:p>
      <w:pPr>
        <w:pStyle w:val="4"/>
        <w:bidi w:val="0"/>
        <w:rPr>
          <w:color w:val="auto"/>
          <w:lang w:val="en-US" w:eastAsia="zh-CN"/>
        </w:rPr>
      </w:pPr>
      <w:r>
        <w:rPr>
          <w:color w:val="auto"/>
          <w:lang w:val="en-US" w:eastAsia="zh-CN"/>
        </w:rPr>
        <w:t>节水措施</w:t>
      </w:r>
    </w:p>
    <w:p>
      <w:pPr>
        <w:bidi w:val="0"/>
        <w:rPr>
          <w:color w:val="auto"/>
        </w:rPr>
      </w:pPr>
      <w:r>
        <w:rPr>
          <w:color w:val="auto"/>
        </w:rPr>
        <w:t>1、选用节水型卫生洁具及配水件，卫生器具的用水效率达到用水效率标准的三级指标。</w:t>
      </w:r>
    </w:p>
    <w:p>
      <w:pPr>
        <w:bidi w:val="0"/>
        <w:rPr>
          <w:color w:val="auto"/>
        </w:rPr>
      </w:pPr>
      <w:r>
        <w:rPr>
          <w:color w:val="auto"/>
        </w:rPr>
        <w:t>2、公共卫生间采用感应式水嘴及感应式小便器冲洗阀。</w:t>
      </w:r>
    </w:p>
    <w:p>
      <w:pPr>
        <w:bidi w:val="0"/>
        <w:rPr>
          <w:color w:val="auto"/>
        </w:rPr>
      </w:pPr>
      <w:r>
        <w:rPr>
          <w:color w:val="auto"/>
        </w:rPr>
        <w:t>3、按付费或管理单元，分别设置用水计量装置，所有水表均采用远传水表。</w:t>
      </w:r>
    </w:p>
    <w:p>
      <w:pPr>
        <w:bidi w:val="0"/>
        <w:rPr>
          <w:color w:val="auto"/>
        </w:rPr>
      </w:pPr>
      <w:r>
        <w:rPr>
          <w:color w:val="auto"/>
        </w:rPr>
        <w:t>4、合理设计供水压力。给水系统采用竖向分区方式控制最不利处用水器具处的静水压不超过0.45MPa。入户管水压大于0.20MPa者设减压阀，阀后压力0.20MPa,各用水点压力均不大于0.20MPa。</w:t>
      </w:r>
    </w:p>
    <w:p>
      <w:pPr>
        <w:bidi w:val="0"/>
        <w:rPr>
          <w:color w:val="auto"/>
        </w:rPr>
      </w:pPr>
      <w:r>
        <w:rPr>
          <w:color w:val="auto"/>
        </w:rPr>
        <w:t>5、有效避免管网漏损</w:t>
      </w:r>
    </w:p>
    <w:p>
      <w:pPr>
        <w:bidi w:val="0"/>
        <w:rPr>
          <w:color w:val="auto"/>
        </w:rPr>
      </w:pPr>
      <w:r>
        <w:rPr>
          <w:color w:val="auto"/>
        </w:rPr>
        <w:t>1）设计采用的给水管材、管件质量满足相关行业标准的要求；</w:t>
      </w:r>
    </w:p>
    <w:p>
      <w:pPr>
        <w:bidi w:val="0"/>
        <w:rPr>
          <w:color w:val="auto"/>
        </w:rPr>
      </w:pPr>
      <w:r>
        <w:rPr>
          <w:color w:val="auto"/>
        </w:rPr>
        <w:t>2）给水系统选用高性能、零泄露阀门；</w:t>
      </w:r>
    </w:p>
    <w:p>
      <w:pPr>
        <w:bidi w:val="0"/>
        <w:rPr>
          <w:color w:val="auto"/>
        </w:rPr>
      </w:pPr>
      <w:r>
        <w:rPr>
          <w:color w:val="auto"/>
        </w:rPr>
        <w:t>3）检修阀门的位置和数量有利于降低检修时的泄水量；</w:t>
      </w:r>
    </w:p>
    <w:p>
      <w:pPr>
        <w:bidi w:val="0"/>
        <w:rPr>
          <w:color w:val="auto"/>
        </w:rPr>
      </w:pPr>
      <w:r>
        <w:rPr>
          <w:color w:val="auto"/>
        </w:rPr>
        <w:t>4）室外埋地管道采取技术措施，确保室外管道基础安全，并控制管道埋深。在埋深不够的地段，在给水管外壁敷设钢套管进行保护；</w:t>
      </w:r>
    </w:p>
    <w:p>
      <w:pPr>
        <w:bidi w:val="0"/>
        <w:rPr>
          <w:color w:val="auto"/>
        </w:rPr>
      </w:pPr>
      <w:r>
        <w:rPr>
          <w:color w:val="auto"/>
        </w:rPr>
        <w:t>5）水箱水池溢流设置报警装置，进水阀设置自动联动关闭装置，防止进水管阀门故障时,水池、水箱长时间溢流排水。</w:t>
      </w:r>
    </w:p>
    <w:p>
      <w:pPr>
        <w:bidi w:val="0"/>
        <w:rPr>
          <w:color w:val="auto"/>
        </w:rPr>
      </w:pPr>
      <w:r>
        <w:rPr>
          <w:color w:val="auto"/>
        </w:rPr>
        <w:t>6）安装分级计量水表，分级计量水表安装率达到100%，下级水表的设置覆盖上一级水表的所有出流量，确保无计量支路。</w:t>
      </w:r>
    </w:p>
    <w:p>
      <w:pPr>
        <w:bidi w:val="0"/>
        <w:rPr>
          <w:color w:val="auto"/>
        </w:rPr>
      </w:pPr>
      <w:r>
        <w:rPr>
          <w:color w:val="auto"/>
        </w:rPr>
        <w:t>6、绿化灌溉采用喷灌方式。</w:t>
      </w:r>
    </w:p>
    <w:p>
      <w:pPr>
        <w:pStyle w:val="3"/>
        <w:bidi w:val="0"/>
        <w:rPr>
          <w:color w:val="auto"/>
          <w:lang w:val="en-US" w:eastAsia="zh-CN"/>
        </w:rPr>
      </w:pPr>
      <w:r>
        <w:rPr>
          <w:color w:val="auto"/>
          <w:lang w:val="en-US" w:eastAsia="zh-CN"/>
        </w:rPr>
        <w:t>环境保护措施</w:t>
      </w:r>
    </w:p>
    <w:p>
      <w:pPr>
        <w:bidi w:val="0"/>
        <w:rPr>
          <w:color w:val="auto"/>
        </w:rPr>
      </w:pPr>
      <w:r>
        <w:rPr>
          <w:color w:val="auto"/>
        </w:rPr>
        <w:t>1、给水支管的水流速度采用措施不超过1.0m/s,并在直线管段设置胀缩振动传递。</w:t>
      </w:r>
    </w:p>
    <w:p>
      <w:pPr>
        <w:bidi w:val="0"/>
        <w:rPr>
          <w:color w:val="auto"/>
        </w:rPr>
      </w:pPr>
      <w:r>
        <w:rPr>
          <w:color w:val="auto"/>
        </w:rPr>
        <w:t>2、污水经化粪池处理后排入城市污水管道，防止对城市污水管道造成淤塞。</w:t>
      </w:r>
    </w:p>
    <w:p>
      <w:pPr>
        <w:bidi w:val="0"/>
        <w:rPr>
          <w:color w:val="auto"/>
        </w:rPr>
      </w:pPr>
      <w:r>
        <w:rPr>
          <w:color w:val="auto"/>
        </w:rPr>
        <w:t>3、地下层潜水泵坑均采用防臭密闭人孔盖，卫生间设伸顶通气管，使室内环境不受影响。</w:t>
      </w:r>
    </w:p>
    <w:p>
      <w:pPr>
        <w:bidi w:val="0"/>
        <w:rPr>
          <w:color w:val="auto"/>
        </w:rPr>
      </w:pPr>
      <w:r>
        <w:rPr>
          <w:color w:val="auto"/>
        </w:rPr>
        <w:t>4、空调机凝结水排水设独立排水系统，排至室外雨水口，以防其它排水管道的有害气体串入室内。</w:t>
      </w:r>
    </w:p>
    <w:p>
      <w:pPr>
        <w:bidi w:val="0"/>
        <w:rPr>
          <w:color w:val="auto"/>
        </w:rPr>
      </w:pPr>
      <w:r>
        <w:rPr>
          <w:color w:val="auto"/>
        </w:rPr>
        <w:t>5、二次生活给水泵防噪隔振：</w:t>
      </w:r>
    </w:p>
    <w:p>
      <w:pPr>
        <w:bidi w:val="0"/>
        <w:rPr>
          <w:color w:val="auto"/>
        </w:rPr>
      </w:pPr>
      <w:r>
        <w:rPr>
          <w:color w:val="auto"/>
        </w:rPr>
        <w:t>1）泵组采用隔振基础。</w:t>
      </w:r>
    </w:p>
    <w:p>
      <w:pPr>
        <w:bidi w:val="0"/>
        <w:rPr>
          <w:color w:val="auto"/>
        </w:rPr>
      </w:pPr>
      <w:r>
        <w:rPr>
          <w:color w:val="auto"/>
        </w:rPr>
        <w:t>2)水泵进水管、出水管设置可曲挠橡胶接头和弹性吊、支架，减少噪音及振动传递。</w:t>
      </w:r>
    </w:p>
    <w:p>
      <w:pPr>
        <w:bidi w:val="0"/>
        <w:rPr>
          <w:color w:val="auto"/>
        </w:rPr>
      </w:pPr>
      <w:r>
        <w:rPr>
          <w:color w:val="auto"/>
        </w:rPr>
        <w:t>3)水泵出水管止回阀采用静音式止回阀，减少噪音和防止水锤。</w:t>
      </w:r>
    </w:p>
    <w:p>
      <w:pPr>
        <w:pStyle w:val="3"/>
        <w:bidi w:val="0"/>
        <w:rPr>
          <w:color w:val="auto"/>
          <w:lang w:val="en-US" w:eastAsia="zh-CN"/>
        </w:rPr>
      </w:pPr>
      <w:r>
        <w:rPr>
          <w:color w:val="auto"/>
          <w:lang w:val="en-US" w:eastAsia="zh-CN"/>
        </w:rPr>
        <w:t>卫生防疫措施</w:t>
      </w:r>
    </w:p>
    <w:p>
      <w:pPr>
        <w:bidi w:val="0"/>
        <w:rPr>
          <w:color w:val="auto"/>
        </w:rPr>
      </w:pPr>
      <w:r>
        <w:rPr>
          <w:color w:val="auto"/>
        </w:rPr>
        <w:t>1、生活水箱内设水箱自洁仪对其贮水进行消毒，防止水箱内贮水二次污染，确保生活饮用水水质。</w:t>
      </w:r>
    </w:p>
    <w:p>
      <w:pPr>
        <w:bidi w:val="0"/>
        <w:rPr>
          <w:color w:val="auto"/>
        </w:rPr>
      </w:pPr>
      <w:r>
        <w:rPr>
          <w:color w:val="auto"/>
        </w:rPr>
        <w:t>2、水池及水箱通气管及溢水管管口加防虫网罩，防止杂物尘埃进入池内污染水质。</w:t>
      </w:r>
    </w:p>
    <w:p>
      <w:pPr>
        <w:bidi w:val="0"/>
        <w:rPr>
          <w:color w:val="auto"/>
        </w:rPr>
      </w:pPr>
      <w:r>
        <w:rPr>
          <w:color w:val="auto"/>
        </w:rPr>
        <w:t>3、生活水箱进水管与水泵吸水管对侧设置，以防短流；且水箱进水管管口高出水箱内溢流水位，溢流管和泄水管的出口排至泵房内排水明沟，管口高出排水沟沿不小于0.15m。水箱顶均设通气管。</w:t>
      </w:r>
    </w:p>
    <w:p>
      <w:pPr>
        <w:bidi w:val="0"/>
        <w:rPr>
          <w:color w:val="auto"/>
        </w:rPr>
      </w:pPr>
      <w:r>
        <w:rPr>
          <w:color w:val="auto"/>
        </w:rPr>
        <w:t>4、公共卫生间内的蹲式大便器采用脚踏开关冲洗阀，防止人手接触产生交叉感染疾病。室内所用排水地漏及存水弯的水封高度不小于50mm。</w:t>
      </w:r>
    </w:p>
    <w:p>
      <w:pPr>
        <w:pStyle w:val="3"/>
        <w:bidi w:val="0"/>
        <w:rPr>
          <w:color w:val="auto"/>
          <w:lang w:val="en-US" w:eastAsia="zh-CN"/>
        </w:rPr>
      </w:pPr>
      <w:r>
        <w:rPr>
          <w:color w:val="auto"/>
          <w:lang w:val="en-US" w:eastAsia="zh-CN"/>
        </w:rPr>
        <w:t>建筑垃圾源头减量给排水专篇</w:t>
      </w:r>
    </w:p>
    <w:p>
      <w:pPr>
        <w:bidi w:val="0"/>
        <w:rPr>
          <w:color w:val="auto"/>
        </w:rPr>
      </w:pPr>
      <w:r>
        <w:rPr>
          <w:color w:val="auto"/>
        </w:rPr>
        <w:t>1、本项目给排水专业符合相关强制性条文及标准的要求。</w:t>
      </w:r>
    </w:p>
    <w:p>
      <w:pPr>
        <w:bidi w:val="0"/>
        <w:rPr>
          <w:color w:val="auto"/>
        </w:rPr>
      </w:pPr>
      <w:r>
        <w:rPr>
          <w:color w:val="auto"/>
        </w:rPr>
        <w:t>2、所有给排水系统均采用耐腐蚀、抗老化、耐久性能好的管材、管件；所有阀门及附件公称压力不得小于所在处的管道公称压力，给水系统选用高性能、零泄漏阀门。活动配件选用长寿产品，水嘴寿命应达到相关产品标准1.2倍，阀门寿命应达到相关产品标准1.5倍。</w:t>
      </w:r>
    </w:p>
    <w:p>
      <w:pPr>
        <w:bidi w:val="0"/>
        <w:rPr>
          <w:color w:val="auto"/>
        </w:rPr>
      </w:pPr>
      <w:r>
        <w:rPr>
          <w:color w:val="auto"/>
        </w:rPr>
        <w:t>3、在施工安装前，施工总包应组织各专业进行管道综合排布，与其它专业承包商密切配合，预留孔洞。采用成品支吊架，节点结构连接构件优先预留预埋、机电装配式等措施。施工中应遵循压力管让重力管，小管让大管的原则，合理安排施工进度和设备、器材、管道的设置，避免碰撞和返工，减少建筑垃圾。</w:t>
      </w:r>
    </w:p>
    <w:p>
      <w:pPr>
        <w:pStyle w:val="3"/>
        <w:bidi w:val="0"/>
        <w:rPr>
          <w:color w:val="auto"/>
          <w:lang w:val="en-US" w:eastAsia="zh-CN"/>
        </w:rPr>
      </w:pPr>
      <w:r>
        <w:rPr>
          <w:color w:val="auto"/>
          <w:lang w:val="en-US" w:eastAsia="zh-CN"/>
        </w:rPr>
        <w:t>给排水管道抗震措施</w:t>
      </w:r>
    </w:p>
    <w:p>
      <w:pPr>
        <w:bidi w:val="0"/>
        <w:rPr>
          <w:color w:val="auto"/>
        </w:rPr>
      </w:pPr>
      <w:r>
        <w:rPr>
          <w:color w:val="auto"/>
        </w:rPr>
        <w:t>1、本工程按《建筑机电工程抗震设计规范》GB50981-2014进行抗震设计。</w:t>
      </w:r>
    </w:p>
    <w:p>
      <w:pPr>
        <w:bidi w:val="0"/>
        <w:rPr>
          <w:color w:val="auto"/>
        </w:rPr>
      </w:pPr>
      <w:r>
        <w:rPr>
          <w:color w:val="auto"/>
        </w:rPr>
        <w:t>2、悬吊管道中重力大于1.8KN的设备、DN65以上的生活给水、消防管道支吊架需进行抗震设计。抗震支吊架最大设计间距须符合《建筑机电工程抗震设计规范》GB50981-2014第8.2.3条规定。据8.2.5条规定要求，抗震支吊架应根据规范要求进行验算，并调整抗震支吊架间距，直至各个节点均满足抗震荷载要求。</w:t>
      </w:r>
    </w:p>
    <w:p>
      <w:pPr>
        <w:pStyle w:val="2"/>
        <w:bidi w:val="0"/>
        <w:rPr>
          <w:rFonts w:hint="default"/>
          <w:color w:val="auto"/>
          <w:lang w:val="en-US" w:eastAsia="zh-CN"/>
        </w:rPr>
      </w:pPr>
      <w:r>
        <w:rPr>
          <w:rFonts w:hint="eastAsia"/>
          <w:color w:val="auto"/>
          <w:lang w:val="en-US" w:eastAsia="zh-CN"/>
        </w:rPr>
        <w:br w:type="column"/>
      </w:r>
      <w:r>
        <w:rPr>
          <w:rFonts w:hint="eastAsia"/>
          <w:color w:val="auto"/>
          <w:lang w:val="en-US" w:eastAsia="zh-CN"/>
        </w:rPr>
        <w:t>电气设计说明</w:t>
      </w:r>
    </w:p>
    <w:p>
      <w:pPr>
        <w:pStyle w:val="3"/>
        <w:bidi w:val="0"/>
        <w:rPr>
          <w:lang w:val="en-US" w:eastAsia="zh-CN"/>
        </w:rPr>
      </w:pPr>
      <w:r>
        <w:rPr>
          <w:rFonts w:hint="eastAsia"/>
          <w:lang w:val="en-US" w:eastAsia="zh-CN"/>
        </w:rPr>
        <w:t>项目概况</w:t>
      </w:r>
    </w:p>
    <w:p>
      <w:pPr>
        <w:bidi w:val="0"/>
        <w:rPr>
          <w:rFonts w:hint="eastAsia"/>
          <w:color w:val="auto"/>
          <w:lang w:val="en-US" w:eastAsia="zh-CN"/>
        </w:rPr>
      </w:pPr>
      <w:r>
        <w:rPr>
          <w:rFonts w:hint="eastAsia"/>
          <w:color w:val="auto"/>
          <w:lang w:val="en-US" w:eastAsia="zh-CN"/>
        </w:rPr>
        <w:t>项目名称：湖南汨罗高新技术产业开发区产城融合示范基地基础设施建设项目。</w:t>
      </w:r>
    </w:p>
    <w:p>
      <w:pPr>
        <w:bidi w:val="0"/>
        <w:rPr>
          <w:rFonts w:hint="default"/>
          <w:color w:val="auto"/>
          <w:lang w:val="en-US" w:eastAsia="zh-CN"/>
        </w:rPr>
      </w:pPr>
      <w:r>
        <w:rPr>
          <w:rFonts w:hint="eastAsia"/>
          <w:color w:val="auto"/>
          <w:lang w:val="en-US" w:eastAsia="zh-CN"/>
        </w:rPr>
        <w:t>建设单位：</w:t>
      </w:r>
      <w:r>
        <w:rPr>
          <w:rFonts w:hint="default"/>
          <w:color w:val="auto"/>
          <w:lang w:val="en-US" w:eastAsia="zh-CN"/>
        </w:rPr>
        <w:t>湖南汨罗高新技术产业开发区管理委员会</w:t>
      </w:r>
    </w:p>
    <w:p>
      <w:pPr>
        <w:bidi w:val="0"/>
        <w:rPr>
          <w:rFonts w:hint="eastAsia"/>
          <w:color w:val="auto"/>
          <w:lang w:val="en-US" w:eastAsia="zh-CN"/>
        </w:rPr>
      </w:pPr>
      <w:r>
        <w:rPr>
          <w:rFonts w:hint="eastAsia"/>
          <w:color w:val="auto"/>
          <w:lang w:val="en-US" w:eastAsia="zh-CN"/>
        </w:rPr>
        <w:t>项目规模及内容：</w:t>
      </w:r>
    </w:p>
    <w:p>
      <w:pPr>
        <w:bidi w:val="0"/>
        <w:rPr>
          <w:rFonts w:hint="default"/>
          <w:color w:val="auto"/>
          <w:lang w:val="en-US" w:eastAsia="zh-CN"/>
        </w:rPr>
      </w:pPr>
      <w:r>
        <w:rPr>
          <w:rFonts w:hint="default"/>
          <w:color w:val="auto"/>
          <w:lang w:val="en-US" w:eastAsia="zh-CN"/>
        </w:rPr>
        <w:t>项目用地41754.51㎡，总建筑面积</w:t>
      </w:r>
      <w:r>
        <w:rPr>
          <w:rFonts w:hint="eastAsia"/>
          <w:color w:val="auto"/>
          <w:lang w:val="en-US" w:eastAsia="zh-CN"/>
        </w:rPr>
        <w:t>43957.00</w:t>
      </w:r>
      <w:r>
        <w:rPr>
          <w:rFonts w:hint="default"/>
          <w:color w:val="auto"/>
          <w:lang w:val="en-US" w:eastAsia="zh-CN"/>
        </w:rPr>
        <w:t>㎡，建筑占地面积</w:t>
      </w:r>
      <w:r>
        <w:rPr>
          <w:rFonts w:hint="eastAsia"/>
          <w:color w:val="auto"/>
          <w:lang w:val="en-US" w:eastAsia="zh-CN"/>
        </w:rPr>
        <w:t>15838.72</w:t>
      </w:r>
      <w:r>
        <w:rPr>
          <w:rFonts w:hint="default"/>
          <w:color w:val="auto"/>
          <w:lang w:val="en-US" w:eastAsia="zh-CN"/>
        </w:rPr>
        <w:t>㎡</w:t>
      </w:r>
      <w:r>
        <w:rPr>
          <w:rFonts w:hint="eastAsia"/>
          <w:color w:val="auto"/>
          <w:lang w:val="en-US" w:eastAsia="zh-CN"/>
        </w:rPr>
        <w:t>，容积率1.03</w:t>
      </w:r>
      <w:r>
        <w:rPr>
          <w:rFonts w:hint="default"/>
          <w:color w:val="auto"/>
          <w:lang w:val="en-US" w:eastAsia="zh-CN"/>
        </w:rPr>
        <w:t>，建筑密度</w:t>
      </w:r>
      <w:r>
        <w:rPr>
          <w:rFonts w:hint="eastAsia"/>
          <w:color w:val="auto"/>
          <w:lang w:val="en-US" w:eastAsia="zh-CN"/>
        </w:rPr>
        <w:t>37.93%</w:t>
      </w:r>
      <w:r>
        <w:rPr>
          <w:rFonts w:hint="default"/>
          <w:color w:val="auto"/>
          <w:lang w:val="en-US" w:eastAsia="zh-CN"/>
        </w:rPr>
        <w:t>，绿化率12.9%。</w:t>
      </w:r>
    </w:p>
    <w:p>
      <w:pPr>
        <w:bidi w:val="0"/>
        <w:rPr>
          <w:rFonts w:hint="default"/>
          <w:color w:val="auto"/>
          <w:lang w:val="en-US" w:eastAsia="zh-CN"/>
        </w:rPr>
      </w:pPr>
      <w:r>
        <w:rPr>
          <w:rFonts w:hint="eastAsia"/>
          <w:color w:val="auto"/>
          <w:lang w:val="en-US" w:eastAsia="zh-CN"/>
        </w:rPr>
        <w:t>本次</w:t>
      </w:r>
      <w:r>
        <w:rPr>
          <w:rFonts w:hint="default"/>
          <w:color w:val="auto"/>
          <w:lang w:val="en-US" w:eastAsia="zh-CN"/>
        </w:rPr>
        <w:t>建设内容：</w:t>
      </w:r>
      <w:r>
        <w:rPr>
          <w:rFonts w:hint="eastAsia"/>
          <w:color w:val="auto"/>
          <w:lang w:val="en-US" w:eastAsia="zh-CN"/>
        </w:rPr>
        <w:t>1#栋办公楼，建筑面积2409.00</w:t>
      </w:r>
      <w:r>
        <w:rPr>
          <w:rFonts w:hint="default"/>
          <w:color w:val="auto"/>
          <w:lang w:val="en-US" w:eastAsia="zh-CN"/>
        </w:rPr>
        <w:t>㎡</w:t>
      </w:r>
      <w:r>
        <w:rPr>
          <w:rFonts w:hint="eastAsia"/>
          <w:color w:val="auto"/>
          <w:lang w:val="en-US" w:eastAsia="zh-CN"/>
        </w:rPr>
        <w:t>；2#栋宿舍楼，建筑面积3683.24</w:t>
      </w:r>
      <w:r>
        <w:rPr>
          <w:rFonts w:hint="default"/>
          <w:color w:val="auto"/>
          <w:lang w:val="en-US" w:eastAsia="zh-CN"/>
        </w:rPr>
        <w:t>㎡</w:t>
      </w:r>
      <w:r>
        <w:rPr>
          <w:rFonts w:hint="eastAsia"/>
          <w:color w:val="auto"/>
          <w:lang w:val="en-US" w:eastAsia="zh-CN"/>
        </w:rPr>
        <w:t>，3#</w:t>
      </w:r>
      <w:r>
        <w:rPr>
          <w:rFonts w:hint="default"/>
          <w:color w:val="auto"/>
          <w:lang w:val="en-US" w:eastAsia="zh-CN"/>
        </w:rPr>
        <w:t>栋</w:t>
      </w:r>
      <w:r>
        <w:rPr>
          <w:rFonts w:hint="eastAsia"/>
          <w:color w:val="auto"/>
          <w:lang w:val="en-US" w:eastAsia="zh-CN"/>
        </w:rPr>
        <w:t>3</w:t>
      </w:r>
      <w:r>
        <w:rPr>
          <w:rFonts w:hint="default"/>
          <w:color w:val="auto"/>
          <w:lang w:val="en-US" w:eastAsia="zh-CN"/>
        </w:rPr>
        <w:t>层标准厂房</w:t>
      </w:r>
      <w:r>
        <w:rPr>
          <w:rFonts w:hint="eastAsia"/>
          <w:color w:val="auto"/>
          <w:lang w:val="en-US" w:eastAsia="zh-CN"/>
        </w:rPr>
        <w:t>，建筑面积6904.96</w:t>
      </w:r>
      <w:r>
        <w:rPr>
          <w:rFonts w:hint="default"/>
          <w:color w:val="auto"/>
          <w:lang w:val="en-US" w:eastAsia="zh-CN"/>
        </w:rPr>
        <w:t>㎡</w:t>
      </w:r>
      <w:r>
        <w:rPr>
          <w:rFonts w:hint="eastAsia"/>
          <w:color w:val="auto"/>
          <w:lang w:val="en-US" w:eastAsia="zh-CN"/>
        </w:rPr>
        <w:t>；4~6#栋厂房，建筑面积共30721.8</w:t>
      </w:r>
      <w:r>
        <w:rPr>
          <w:rFonts w:hint="default"/>
          <w:color w:val="auto"/>
          <w:lang w:val="en-US" w:eastAsia="zh-CN"/>
        </w:rPr>
        <w:t>㎡</w:t>
      </w:r>
      <w:r>
        <w:rPr>
          <w:rFonts w:hint="eastAsia"/>
          <w:color w:val="auto"/>
          <w:lang w:val="en-US" w:eastAsia="zh-CN"/>
        </w:rPr>
        <w:t>；设备用房190.00</w:t>
      </w:r>
      <w:r>
        <w:rPr>
          <w:rFonts w:hint="default"/>
          <w:color w:val="auto"/>
          <w:lang w:val="en-US" w:eastAsia="zh-CN"/>
        </w:rPr>
        <w:t>㎡</w:t>
      </w:r>
      <w:r>
        <w:rPr>
          <w:rFonts w:hint="eastAsia"/>
          <w:color w:val="auto"/>
          <w:lang w:val="en-US" w:eastAsia="zh-CN"/>
        </w:rPr>
        <w:t>；门卫室48.00</w:t>
      </w:r>
      <w:r>
        <w:rPr>
          <w:rFonts w:hint="default"/>
          <w:color w:val="auto"/>
          <w:lang w:val="en-US" w:eastAsia="zh-CN"/>
        </w:rPr>
        <w:t>㎡</w:t>
      </w:r>
      <w:r>
        <w:rPr>
          <w:rFonts w:hint="eastAsia"/>
          <w:color w:val="auto"/>
          <w:lang w:val="en-US" w:eastAsia="zh-CN"/>
        </w:rPr>
        <w:t>。</w:t>
      </w:r>
    </w:p>
    <w:p>
      <w:pPr>
        <w:pStyle w:val="3"/>
        <w:bidi w:val="0"/>
        <w:rPr>
          <w:color w:val="auto"/>
          <w:lang w:val="en-US" w:eastAsia="zh-CN"/>
        </w:rPr>
      </w:pPr>
      <w:r>
        <w:rPr>
          <w:rFonts w:hint="eastAsia"/>
          <w:color w:val="auto"/>
          <w:lang w:val="en-US" w:eastAsia="zh-CN"/>
        </w:rPr>
        <w:t>设计依据</w:t>
      </w:r>
    </w:p>
    <w:p>
      <w:pPr>
        <w:bidi w:val="0"/>
        <w:rPr>
          <w:rFonts w:hint="eastAsia"/>
          <w:color w:val="auto"/>
        </w:rPr>
      </w:pPr>
      <w:r>
        <w:rPr>
          <w:rFonts w:hint="eastAsia"/>
          <w:color w:val="auto"/>
        </w:rPr>
        <w:t>1、建设单位提供的用地红线图；</w:t>
      </w:r>
    </w:p>
    <w:p>
      <w:pPr>
        <w:bidi w:val="0"/>
        <w:rPr>
          <w:color w:val="auto"/>
        </w:rPr>
      </w:pPr>
      <w:r>
        <w:rPr>
          <w:rFonts w:hint="eastAsia"/>
          <w:color w:val="auto"/>
        </w:rPr>
        <w:t>2、国家现行的相关政策、法规、标准、规范。</w:t>
      </w:r>
    </w:p>
    <w:p>
      <w:pPr>
        <w:bidi w:val="0"/>
        <w:rPr>
          <w:color w:val="auto"/>
        </w:rPr>
      </w:pPr>
      <w:r>
        <w:rPr>
          <w:rFonts w:hint="eastAsia"/>
          <w:color w:val="auto"/>
        </w:rPr>
        <w:t>各专业提供的设计资料；</w:t>
      </w:r>
    </w:p>
    <w:p>
      <w:pPr>
        <w:bidi w:val="0"/>
        <w:rPr>
          <w:color w:val="auto"/>
        </w:rPr>
      </w:pPr>
      <w:r>
        <w:rPr>
          <w:rFonts w:hint="eastAsia"/>
          <w:color w:val="auto"/>
        </w:rPr>
        <w:t>国家现行的主要设计规范及标准：</w:t>
      </w:r>
    </w:p>
    <w:p>
      <w:pPr>
        <w:bidi w:val="0"/>
        <w:rPr>
          <w:rFonts w:hint="eastAsia"/>
          <w:color w:val="auto"/>
        </w:rPr>
      </w:pPr>
      <w:r>
        <w:rPr>
          <w:color w:val="auto"/>
        </w:rPr>
        <w:t>《建筑防火通用规范》GB55037-2022；</w:t>
      </w:r>
    </w:p>
    <w:p>
      <w:pPr>
        <w:bidi w:val="0"/>
        <w:rPr>
          <w:rFonts w:hint="eastAsia"/>
          <w:color w:val="auto"/>
        </w:rPr>
      </w:pPr>
      <w:r>
        <w:rPr>
          <w:color w:val="auto"/>
        </w:rPr>
        <w:t>《民用建筑通用规范》55031-2022；</w:t>
      </w:r>
    </w:p>
    <w:p>
      <w:pPr>
        <w:bidi w:val="0"/>
        <w:rPr>
          <w:color w:val="auto"/>
        </w:rPr>
      </w:pPr>
      <w:bookmarkStart w:id="20" w:name="bookmark321"/>
      <w:bookmarkEnd w:id="20"/>
      <w:r>
        <w:rPr>
          <w:rFonts w:hint="eastAsia"/>
          <w:color w:val="auto"/>
        </w:rPr>
        <w:t>《建筑设计防火规范》(GB50016-2014）2018年版；</w:t>
      </w:r>
    </w:p>
    <w:p>
      <w:pPr>
        <w:bidi w:val="0"/>
        <w:rPr>
          <w:color w:val="auto"/>
        </w:rPr>
      </w:pPr>
      <w:bookmarkStart w:id="21" w:name="bookmark323"/>
      <w:bookmarkEnd w:id="21"/>
      <w:bookmarkStart w:id="22" w:name="bookmark322"/>
      <w:bookmarkEnd w:id="22"/>
      <w:bookmarkStart w:id="23" w:name="bookmark324"/>
      <w:bookmarkEnd w:id="23"/>
      <w:r>
        <w:rPr>
          <w:color w:val="auto"/>
        </w:rPr>
        <w:t>《20kV及以下变电所设计规范》</w:t>
      </w:r>
      <w:r>
        <w:rPr>
          <w:rFonts w:hint="eastAsia"/>
          <w:color w:val="auto"/>
        </w:rPr>
        <w:t>(</w:t>
      </w:r>
      <w:r>
        <w:rPr>
          <w:color w:val="auto"/>
        </w:rPr>
        <w:t>GB50053-2013);</w:t>
      </w:r>
    </w:p>
    <w:p>
      <w:pPr>
        <w:bidi w:val="0"/>
        <w:rPr>
          <w:color w:val="auto"/>
        </w:rPr>
      </w:pPr>
      <w:r>
        <w:rPr>
          <w:rFonts w:hint="eastAsia"/>
          <w:color w:val="auto"/>
        </w:rPr>
        <w:t>《供配电系统设计规范》(GB50052-2009)；</w:t>
      </w:r>
    </w:p>
    <w:p>
      <w:pPr>
        <w:bidi w:val="0"/>
        <w:rPr>
          <w:color w:val="auto"/>
        </w:rPr>
      </w:pPr>
      <w:bookmarkStart w:id="24" w:name="bookmark325"/>
      <w:bookmarkEnd w:id="24"/>
      <w:r>
        <w:rPr>
          <w:rFonts w:hint="eastAsia"/>
          <w:color w:val="auto"/>
        </w:rPr>
        <w:t>《低压配电设计规范》(GB50054-2011)；</w:t>
      </w:r>
    </w:p>
    <w:p>
      <w:pPr>
        <w:bidi w:val="0"/>
        <w:rPr>
          <w:rFonts w:hint="eastAsia"/>
          <w:color w:val="auto"/>
        </w:rPr>
      </w:pPr>
      <w:bookmarkStart w:id="25" w:name="bookmark326"/>
      <w:bookmarkEnd w:id="25"/>
      <w:r>
        <w:rPr>
          <w:rFonts w:hint="eastAsia"/>
          <w:color w:val="auto"/>
        </w:rPr>
        <w:t>《建筑照明设计标准》(GB50034-2013)；</w:t>
      </w:r>
    </w:p>
    <w:p>
      <w:pPr>
        <w:bidi w:val="0"/>
        <w:rPr>
          <w:color w:val="auto"/>
        </w:rPr>
      </w:pPr>
      <w:r>
        <w:rPr>
          <w:color w:val="auto"/>
        </w:rPr>
        <w:t>《通用用电设备配电设计规范》（GB50055—2011）；</w:t>
      </w:r>
    </w:p>
    <w:p>
      <w:pPr>
        <w:bidi w:val="0"/>
        <w:rPr>
          <w:color w:val="auto"/>
        </w:rPr>
      </w:pPr>
      <w:bookmarkStart w:id="26" w:name="bookmark327"/>
      <w:bookmarkEnd w:id="26"/>
      <w:r>
        <w:rPr>
          <w:rFonts w:hint="eastAsia"/>
          <w:color w:val="auto"/>
        </w:rPr>
        <w:t>《民用建筑电气设计标准》(GB51348-2019)；</w:t>
      </w:r>
    </w:p>
    <w:p>
      <w:pPr>
        <w:bidi w:val="0"/>
        <w:rPr>
          <w:rFonts w:hint="eastAsia"/>
          <w:color w:val="auto"/>
        </w:rPr>
      </w:pPr>
      <w:bookmarkStart w:id="27" w:name="bookmark328"/>
      <w:bookmarkEnd w:id="27"/>
      <w:r>
        <w:rPr>
          <w:rFonts w:hint="eastAsia"/>
          <w:color w:val="auto"/>
        </w:rPr>
        <w:t>《建筑物防雷设计规范》GB50057-2010)；</w:t>
      </w:r>
    </w:p>
    <w:p>
      <w:pPr>
        <w:bidi w:val="0"/>
        <w:rPr>
          <w:color w:val="auto"/>
        </w:rPr>
      </w:pPr>
      <w:r>
        <w:rPr>
          <w:color w:val="auto"/>
        </w:rPr>
        <w:t>《电力工程电缆设计标准》（GB50217-2018）；</w:t>
      </w:r>
    </w:p>
    <w:p>
      <w:pPr>
        <w:bidi w:val="0"/>
        <w:rPr>
          <w:color w:val="auto"/>
        </w:rPr>
      </w:pPr>
      <w:bookmarkStart w:id="28" w:name="bookmark329"/>
      <w:bookmarkEnd w:id="28"/>
      <w:r>
        <w:rPr>
          <w:rFonts w:hint="eastAsia"/>
          <w:color w:val="auto"/>
        </w:rPr>
        <w:t>《建筑物电子信息系统防雷技术规范》(GB50343-2012)；</w:t>
      </w:r>
    </w:p>
    <w:p>
      <w:pPr>
        <w:bidi w:val="0"/>
        <w:rPr>
          <w:color w:val="auto"/>
        </w:rPr>
      </w:pPr>
      <w:bookmarkStart w:id="29" w:name="bookmark330"/>
      <w:bookmarkEnd w:id="29"/>
      <w:r>
        <w:rPr>
          <w:rFonts w:hint="eastAsia"/>
          <w:color w:val="auto"/>
        </w:rPr>
        <w:t>《建筑机电工程抗震设计规范》(GB50981-2014)；</w:t>
      </w:r>
    </w:p>
    <w:p>
      <w:pPr>
        <w:bidi w:val="0"/>
        <w:rPr>
          <w:rFonts w:hint="eastAsia"/>
          <w:color w:val="auto"/>
        </w:rPr>
      </w:pPr>
      <w:bookmarkStart w:id="30" w:name="bookmark331"/>
      <w:bookmarkEnd w:id="30"/>
      <w:r>
        <w:rPr>
          <w:rFonts w:hint="eastAsia"/>
          <w:color w:val="auto"/>
        </w:rPr>
        <w:t>《消防应急照明和疏散指示系统技术标准》(GB51309-2018)；</w:t>
      </w:r>
    </w:p>
    <w:p>
      <w:pPr>
        <w:bidi w:val="0"/>
        <w:rPr>
          <w:rFonts w:hint="eastAsia"/>
          <w:color w:val="auto"/>
        </w:rPr>
      </w:pPr>
      <w:r>
        <w:rPr>
          <w:color w:val="auto"/>
        </w:rPr>
        <w:t>《工业建筑节能设计统一标准》</w:t>
      </w:r>
      <w:r>
        <w:rPr>
          <w:rFonts w:hint="eastAsia"/>
          <w:color w:val="auto"/>
        </w:rPr>
        <w:t>(</w:t>
      </w:r>
      <w:r>
        <w:rPr>
          <w:color w:val="auto"/>
        </w:rPr>
        <w:t>GB51245-2017);</w:t>
      </w:r>
    </w:p>
    <w:p>
      <w:pPr>
        <w:bidi w:val="0"/>
        <w:rPr>
          <w:rFonts w:hint="eastAsia"/>
          <w:color w:val="auto"/>
        </w:rPr>
      </w:pPr>
      <w:bookmarkStart w:id="31" w:name="bookmark332"/>
      <w:bookmarkEnd w:id="31"/>
      <w:r>
        <w:rPr>
          <w:rFonts w:hint="eastAsia"/>
          <w:color w:val="auto"/>
        </w:rPr>
        <w:t>《建筑工程设计文件编制深度规定》(2016年版)</w:t>
      </w:r>
    </w:p>
    <w:p>
      <w:pPr>
        <w:bidi w:val="0"/>
        <w:rPr>
          <w:rFonts w:hint="eastAsia"/>
          <w:color w:val="auto"/>
        </w:rPr>
      </w:pPr>
      <w:r>
        <w:rPr>
          <w:rFonts w:hint="eastAsia"/>
          <w:color w:val="auto"/>
        </w:rPr>
        <w:t>《建筑与市政工程抗震通用规范》GB55002-2021；</w:t>
      </w:r>
    </w:p>
    <w:p>
      <w:pPr>
        <w:bidi w:val="0"/>
        <w:rPr>
          <w:rFonts w:hint="eastAsia"/>
          <w:color w:val="auto"/>
        </w:rPr>
      </w:pPr>
      <w:r>
        <w:rPr>
          <w:rFonts w:hint="eastAsia"/>
          <w:color w:val="auto"/>
        </w:rPr>
        <w:t>《建筑环境通用规范》GB55016-2021；</w:t>
      </w:r>
    </w:p>
    <w:p>
      <w:pPr>
        <w:bidi w:val="0"/>
        <w:rPr>
          <w:rFonts w:hint="eastAsia"/>
          <w:color w:val="auto"/>
        </w:rPr>
      </w:pPr>
      <w:r>
        <w:rPr>
          <w:rFonts w:hint="eastAsia"/>
          <w:color w:val="auto"/>
        </w:rPr>
        <w:t>《建筑节能与可再生能源利用通用规范》GB55015-2021；</w:t>
      </w:r>
    </w:p>
    <w:p>
      <w:pPr>
        <w:bidi w:val="0"/>
        <w:rPr>
          <w:rFonts w:hint="eastAsia"/>
          <w:color w:val="auto"/>
        </w:rPr>
      </w:pPr>
      <w:r>
        <w:rPr>
          <w:rFonts w:hint="eastAsia"/>
          <w:color w:val="auto"/>
        </w:rPr>
        <w:t>《建筑电气与智能化通用规范》GB55024-2022；</w:t>
      </w:r>
    </w:p>
    <w:p>
      <w:pPr>
        <w:bidi w:val="0"/>
        <w:rPr>
          <w:rFonts w:hint="eastAsia"/>
          <w:color w:val="auto"/>
        </w:rPr>
      </w:pPr>
      <w:r>
        <w:rPr>
          <w:rFonts w:hint="eastAsia"/>
          <w:color w:val="auto"/>
        </w:rPr>
        <w:t>《宿舍、旅馆建筑项目规范》GB55025-2022；</w:t>
      </w:r>
    </w:p>
    <w:p>
      <w:pPr>
        <w:bidi w:val="0"/>
        <w:rPr>
          <w:rFonts w:hint="eastAsia"/>
          <w:color w:val="auto"/>
        </w:rPr>
      </w:pPr>
      <w:r>
        <w:rPr>
          <w:rFonts w:hint="eastAsia"/>
          <w:color w:val="auto"/>
        </w:rPr>
        <w:t>《消防设施通用规范》GB55036-2023;</w:t>
      </w:r>
    </w:p>
    <w:p>
      <w:pPr>
        <w:bidi w:val="0"/>
        <w:rPr>
          <w:rFonts w:hint="eastAsia"/>
          <w:color w:val="auto"/>
        </w:rPr>
      </w:pPr>
      <w:r>
        <w:rPr>
          <w:rFonts w:hint="eastAsia"/>
          <w:color w:val="auto"/>
        </w:rPr>
        <w:t>《建筑防火通用规范》GB55037-2022;</w:t>
      </w:r>
    </w:p>
    <w:p>
      <w:pPr>
        <w:bidi w:val="0"/>
        <w:rPr>
          <w:rFonts w:hint="eastAsia"/>
          <w:color w:val="auto"/>
        </w:rPr>
      </w:pPr>
      <w:r>
        <w:rPr>
          <w:rFonts w:hint="eastAsia"/>
          <w:color w:val="auto"/>
        </w:rPr>
        <w:t>《建筑与市政工程无障碍通用规范》GB55019-2021;</w:t>
      </w:r>
    </w:p>
    <w:p>
      <w:pPr>
        <w:bidi w:val="0"/>
        <w:rPr>
          <w:rFonts w:hint="eastAsia"/>
          <w:color w:val="auto"/>
        </w:rPr>
      </w:pPr>
      <w:r>
        <w:rPr>
          <w:rFonts w:hint="eastAsia"/>
          <w:color w:val="auto"/>
        </w:rPr>
        <w:t>《宿舍建筑设计标准》JGJ36-2016；</w:t>
      </w:r>
    </w:p>
    <w:p>
      <w:pPr>
        <w:pStyle w:val="3"/>
        <w:bidi w:val="0"/>
        <w:rPr>
          <w:color w:val="auto"/>
          <w:lang w:val="en-US" w:eastAsia="zh-CN"/>
        </w:rPr>
      </w:pPr>
      <w:r>
        <w:rPr>
          <w:rFonts w:hint="eastAsia"/>
          <w:color w:val="auto"/>
          <w:lang w:val="en-US" w:eastAsia="zh-CN"/>
        </w:rPr>
        <w:t>设计范围及内容</w:t>
      </w:r>
    </w:p>
    <w:p>
      <w:pPr>
        <w:bidi w:val="0"/>
        <w:rPr>
          <w:color w:val="auto"/>
          <w:lang w:val="en-US" w:eastAsia="zh-CN"/>
        </w:rPr>
      </w:pPr>
      <w:r>
        <w:rPr>
          <w:rFonts w:hint="eastAsia"/>
          <w:color w:val="auto"/>
          <w:lang w:val="en-US" w:eastAsia="zh-CN"/>
        </w:rPr>
        <w:t>（1）设计范围包括本工程红线范围内的以下部分：</w:t>
      </w:r>
    </w:p>
    <w:p>
      <w:pPr>
        <w:bidi w:val="0"/>
        <w:rPr>
          <w:rFonts w:hint="eastAsia"/>
          <w:color w:val="auto"/>
        </w:rPr>
      </w:pPr>
      <w:r>
        <w:rPr>
          <w:rFonts w:hint="eastAsia"/>
          <w:color w:val="auto"/>
        </w:rPr>
        <w:t>--10/0.4kV变配电系统；</w:t>
      </w:r>
    </w:p>
    <w:p>
      <w:pPr>
        <w:bidi w:val="0"/>
        <w:rPr>
          <w:color w:val="auto"/>
        </w:rPr>
      </w:pPr>
      <w:r>
        <w:rPr>
          <w:rFonts w:hint="eastAsia"/>
          <w:color w:val="auto"/>
        </w:rPr>
        <w:t>--低压配电系统；</w:t>
      </w:r>
    </w:p>
    <w:p>
      <w:pPr>
        <w:bidi w:val="0"/>
        <w:rPr>
          <w:color w:val="auto"/>
        </w:rPr>
      </w:pPr>
      <w:r>
        <w:rPr>
          <w:rFonts w:hint="eastAsia"/>
          <w:color w:val="auto"/>
        </w:rPr>
        <w:t>--照明系统；</w:t>
      </w:r>
    </w:p>
    <w:p>
      <w:pPr>
        <w:bidi w:val="0"/>
        <w:rPr>
          <w:color w:val="auto"/>
        </w:rPr>
      </w:pPr>
      <w:r>
        <w:rPr>
          <w:rFonts w:hint="eastAsia"/>
          <w:color w:val="auto"/>
        </w:rPr>
        <w:t>--建筑物防雷保护、安全措施及接地系统；</w:t>
      </w:r>
    </w:p>
    <w:p>
      <w:pPr>
        <w:bidi w:val="0"/>
        <w:rPr>
          <w:color w:val="auto"/>
        </w:rPr>
      </w:pPr>
      <w:r>
        <w:rPr>
          <w:rFonts w:hint="eastAsia"/>
          <w:color w:val="auto"/>
        </w:rPr>
        <w:t>--消防应急照明和疏散指示系统；</w:t>
      </w:r>
    </w:p>
    <w:p>
      <w:pPr>
        <w:bidi w:val="0"/>
        <w:rPr>
          <w:color w:val="auto"/>
          <w:lang w:val="en-US" w:eastAsia="zh-CN"/>
        </w:rPr>
      </w:pPr>
      <w:r>
        <w:rPr>
          <w:rFonts w:hint="eastAsia"/>
          <w:color w:val="auto"/>
          <w:lang w:val="en-US" w:eastAsia="zh-CN"/>
        </w:rPr>
        <w:t>（2）与其它专业设计的分工：</w:t>
      </w:r>
    </w:p>
    <w:p>
      <w:pPr>
        <w:bidi w:val="0"/>
        <w:rPr>
          <w:color w:val="auto"/>
        </w:rPr>
      </w:pPr>
      <w:r>
        <w:rPr>
          <w:rFonts w:hint="eastAsia"/>
          <w:color w:val="auto"/>
        </w:rPr>
        <w:t>1）有特殊装修要求的场所，由室内二次装修设计负责进行电力、照明平面的设计,本设计将电源引至配电箱，预留二次装修电力、照明容量；</w:t>
      </w:r>
    </w:p>
    <w:p>
      <w:pPr>
        <w:bidi w:val="0"/>
        <w:rPr>
          <w:color w:val="auto"/>
        </w:rPr>
      </w:pPr>
      <w:r>
        <w:rPr>
          <w:rFonts w:hint="eastAsia"/>
          <w:color w:val="auto"/>
        </w:rPr>
        <w:t>2）本工程电源进建筑物的位置及过墙套管由本设计提供；</w:t>
      </w:r>
    </w:p>
    <w:p>
      <w:pPr>
        <w:pStyle w:val="3"/>
        <w:bidi w:val="0"/>
        <w:rPr>
          <w:rFonts w:hint="eastAsia"/>
          <w:color w:val="auto"/>
          <w:lang w:val="en-US" w:eastAsia="zh-CN"/>
        </w:rPr>
      </w:pPr>
      <w:r>
        <w:rPr>
          <w:rFonts w:hint="eastAsia"/>
          <w:color w:val="auto"/>
          <w:lang w:val="en-US" w:eastAsia="zh-CN"/>
        </w:rPr>
        <w:t>10/0.4kV变配电系统：</w:t>
      </w:r>
    </w:p>
    <w:p>
      <w:pPr>
        <w:bidi w:val="0"/>
        <w:rPr>
          <w:color w:val="auto"/>
          <w:lang w:val="en-US" w:eastAsia="zh-CN"/>
        </w:rPr>
      </w:pPr>
      <w:r>
        <w:rPr>
          <w:rFonts w:hint="eastAsia"/>
          <w:color w:val="auto"/>
          <w:lang w:val="en-US" w:eastAsia="zh-CN"/>
        </w:rPr>
        <w:t>（1）负荷分类及容量</w:t>
      </w:r>
    </w:p>
    <w:p>
      <w:pPr>
        <w:bidi w:val="0"/>
        <w:rPr>
          <w:rFonts w:hint="eastAsia"/>
          <w:color w:val="auto"/>
          <w:lang w:eastAsia="zh-CN"/>
        </w:rPr>
      </w:pPr>
      <w:r>
        <w:rPr>
          <w:rFonts w:hint="eastAsia"/>
          <w:color w:val="auto"/>
        </w:rPr>
        <w:t>二级负荷：宿舍楼门厅（大堂）、楼梯间、主要走道和通道的照明、安全防范系统。</w:t>
      </w:r>
    </w:p>
    <w:p>
      <w:pPr>
        <w:bidi w:val="0"/>
        <w:rPr>
          <w:rFonts w:hint="eastAsia"/>
          <w:color w:val="auto"/>
        </w:rPr>
      </w:pPr>
      <w:r>
        <w:rPr>
          <w:rFonts w:hint="eastAsia"/>
          <w:color w:val="auto"/>
        </w:rPr>
        <w:t>三级负荷：除二级负荷外其他电力负荷及一般照明。</w:t>
      </w:r>
    </w:p>
    <w:p>
      <w:pPr>
        <w:bidi w:val="0"/>
        <w:rPr>
          <w:color w:val="auto"/>
          <w:lang w:val="en-US" w:eastAsia="zh-CN"/>
        </w:rPr>
      </w:pPr>
      <w:r>
        <w:rPr>
          <w:rFonts w:hint="eastAsia"/>
          <w:color w:val="auto"/>
          <w:lang w:val="en-US" w:eastAsia="zh-CN"/>
        </w:rPr>
        <w:t>（2）供电电源及变电所设置情况</w:t>
      </w:r>
    </w:p>
    <w:p>
      <w:pPr>
        <w:bidi w:val="0"/>
        <w:rPr>
          <w:color w:val="auto"/>
        </w:rPr>
      </w:pPr>
      <w:r>
        <w:rPr>
          <w:rFonts w:hint="eastAsia"/>
          <w:color w:val="auto"/>
        </w:rPr>
        <w:t>本工程</w:t>
      </w:r>
      <w:r>
        <w:rPr>
          <w:color w:val="auto"/>
        </w:rPr>
        <w:t>由市政电网引入</w:t>
      </w:r>
      <w:r>
        <w:rPr>
          <w:rFonts w:hint="eastAsia"/>
          <w:color w:val="auto"/>
        </w:rPr>
        <w:t>一</w:t>
      </w:r>
      <w:r>
        <w:rPr>
          <w:color w:val="auto"/>
        </w:rPr>
        <w:t>路10kV电源</w:t>
      </w:r>
      <w:r>
        <w:rPr>
          <w:rFonts w:hint="eastAsia"/>
          <w:color w:val="auto"/>
        </w:rPr>
        <w:t>。</w:t>
      </w:r>
    </w:p>
    <w:p>
      <w:pPr>
        <w:bidi w:val="0"/>
        <w:rPr>
          <w:color w:val="auto"/>
        </w:rPr>
      </w:pPr>
      <w:r>
        <w:rPr>
          <w:color w:val="auto"/>
        </w:rPr>
        <w:t>本工程在</w:t>
      </w:r>
      <w:r>
        <w:rPr>
          <w:rFonts w:hint="eastAsia"/>
          <w:color w:val="auto"/>
        </w:rPr>
        <w:t>设备用房</w:t>
      </w:r>
      <w:r>
        <w:rPr>
          <w:color w:val="auto"/>
        </w:rPr>
        <w:t>一层设置</w:t>
      </w:r>
      <w:r>
        <w:rPr>
          <w:rFonts w:hint="eastAsia"/>
          <w:color w:val="auto"/>
        </w:rPr>
        <w:t>一座中心</w:t>
      </w:r>
      <w:r>
        <w:rPr>
          <w:color w:val="auto"/>
        </w:rPr>
        <w:t>变配电所，在</w:t>
      </w:r>
      <w:r>
        <w:rPr>
          <w:rFonts w:hint="eastAsia"/>
          <w:color w:val="auto"/>
        </w:rPr>
        <w:t>3#-</w:t>
      </w:r>
      <w:r>
        <w:rPr>
          <w:rFonts w:hint="eastAsia"/>
          <w:color w:val="auto"/>
          <w:lang w:val="en-US" w:eastAsia="zh-CN"/>
        </w:rPr>
        <w:t>6</w:t>
      </w:r>
      <w:r>
        <w:rPr>
          <w:rFonts w:hint="eastAsia"/>
          <w:color w:val="auto"/>
        </w:rPr>
        <w:t>#厂房每栋厂房1层各设置1</w:t>
      </w:r>
      <w:r>
        <w:rPr>
          <w:color w:val="auto"/>
        </w:rPr>
        <w:t>个</w:t>
      </w:r>
      <w:r>
        <w:rPr>
          <w:rFonts w:hint="eastAsia"/>
          <w:color w:val="auto"/>
        </w:rPr>
        <w:t>分变电所</w:t>
      </w:r>
      <w:r>
        <w:rPr>
          <w:color w:val="auto"/>
        </w:rPr>
        <w:t>。其中</w:t>
      </w:r>
      <w:r>
        <w:rPr>
          <w:rFonts w:hint="eastAsia"/>
          <w:color w:val="auto"/>
        </w:rPr>
        <w:t>设备用房中心</w:t>
      </w:r>
      <w:r>
        <w:rPr>
          <w:color w:val="auto"/>
        </w:rPr>
        <w:t>变配电所设置</w:t>
      </w:r>
      <w:r>
        <w:rPr>
          <w:rFonts w:hint="eastAsia"/>
          <w:color w:val="auto"/>
          <w:lang w:val="en-US" w:eastAsia="zh-CN"/>
        </w:rPr>
        <w:t>1</w:t>
      </w:r>
      <w:r>
        <w:rPr>
          <w:color w:val="auto"/>
        </w:rPr>
        <w:t>台</w:t>
      </w:r>
      <w:r>
        <w:rPr>
          <w:rFonts w:hint="eastAsia"/>
          <w:color w:val="auto"/>
          <w:lang w:val="en-US" w:eastAsia="zh-CN"/>
        </w:rPr>
        <w:t>63</w:t>
      </w:r>
      <w:r>
        <w:rPr>
          <w:color w:val="auto"/>
        </w:rPr>
        <w:t>0KVA变压器，</w:t>
      </w:r>
      <w:r>
        <w:rPr>
          <w:rFonts w:hint="eastAsia"/>
          <w:color w:val="auto"/>
        </w:rPr>
        <w:t>3#—</w:t>
      </w:r>
      <w:r>
        <w:rPr>
          <w:rFonts w:hint="eastAsia"/>
          <w:color w:val="auto"/>
          <w:lang w:val="en-US" w:eastAsia="zh-CN"/>
        </w:rPr>
        <w:t>6</w:t>
      </w:r>
      <w:r>
        <w:rPr>
          <w:color w:val="auto"/>
        </w:rPr>
        <w:t>#</w:t>
      </w:r>
      <w:r>
        <w:rPr>
          <w:rFonts w:hint="eastAsia"/>
          <w:color w:val="auto"/>
        </w:rPr>
        <w:t>厂房分变电所</w:t>
      </w:r>
      <w:r>
        <w:rPr>
          <w:color w:val="auto"/>
        </w:rPr>
        <w:t>各设置</w:t>
      </w:r>
      <w:r>
        <w:rPr>
          <w:rFonts w:hint="eastAsia"/>
          <w:color w:val="auto"/>
        </w:rPr>
        <w:t>1</w:t>
      </w:r>
      <w:r>
        <w:rPr>
          <w:color w:val="auto"/>
        </w:rPr>
        <w:t>台</w:t>
      </w:r>
      <w:r>
        <w:rPr>
          <w:rFonts w:hint="eastAsia"/>
          <w:color w:val="auto"/>
        </w:rPr>
        <w:t>80</w:t>
      </w:r>
      <w:r>
        <w:rPr>
          <w:color w:val="auto"/>
        </w:rPr>
        <w:t>0KVA变压器。</w:t>
      </w:r>
    </w:p>
    <w:p>
      <w:pPr>
        <w:bidi w:val="0"/>
        <w:rPr>
          <w:rFonts w:hint="eastAsia"/>
          <w:color w:val="auto"/>
          <w:lang w:val="en-US" w:eastAsia="zh-CN"/>
        </w:rPr>
      </w:pPr>
      <w:r>
        <w:rPr>
          <w:rFonts w:hint="eastAsia"/>
          <w:color w:val="auto"/>
          <w:lang w:val="en-US" w:eastAsia="zh-CN"/>
        </w:rPr>
        <w:t>（3）配电系统运行方式</w:t>
      </w:r>
    </w:p>
    <w:p>
      <w:pPr>
        <w:bidi w:val="0"/>
        <w:rPr>
          <w:rFonts w:hint="eastAsia"/>
          <w:color w:val="auto"/>
        </w:rPr>
      </w:pPr>
      <w:r>
        <w:rPr>
          <w:color w:val="auto"/>
        </w:rPr>
        <w:t>变配电所高压配电系统采用单母线运行方式</w:t>
      </w:r>
      <w:r>
        <w:rPr>
          <w:rFonts w:hint="eastAsia"/>
          <w:color w:val="auto"/>
        </w:rPr>
        <w:t>，</w:t>
      </w:r>
      <w:r>
        <w:rPr>
          <w:color w:val="auto"/>
        </w:rPr>
        <w:t>低压配电系统采用单母线分段</w:t>
      </w:r>
      <w:r>
        <w:rPr>
          <w:rFonts w:hint="eastAsia"/>
          <w:color w:val="auto"/>
        </w:rPr>
        <w:t>或单母线</w:t>
      </w:r>
      <w:r>
        <w:rPr>
          <w:color w:val="auto"/>
        </w:rPr>
        <w:t>运行方式，变压器采用分列运行方式。</w:t>
      </w:r>
    </w:p>
    <w:p>
      <w:pPr>
        <w:bidi w:val="0"/>
        <w:rPr>
          <w:rFonts w:hint="eastAsia"/>
          <w:color w:val="auto"/>
          <w:lang w:val="en-US" w:eastAsia="zh-CN"/>
        </w:rPr>
      </w:pPr>
      <w:r>
        <w:rPr>
          <w:rFonts w:hint="eastAsia"/>
          <w:color w:val="auto"/>
          <w:lang w:val="en-US" w:eastAsia="zh-CN"/>
        </w:rPr>
        <w:t>（4）高压配电装置</w:t>
      </w:r>
    </w:p>
    <w:p>
      <w:pPr>
        <w:bidi w:val="0"/>
        <w:rPr>
          <w:rFonts w:hint="eastAsia"/>
          <w:color w:val="auto"/>
        </w:rPr>
      </w:pPr>
      <w:r>
        <w:rPr>
          <w:rFonts w:hint="eastAsia"/>
          <w:color w:val="auto"/>
        </w:rPr>
        <w:t>中心变</w:t>
      </w:r>
      <w:r>
        <w:rPr>
          <w:color w:val="auto"/>
        </w:rPr>
        <w:t>电所内高压配电装置采用金属铠装中置式真空开关柜，</w:t>
      </w:r>
      <w:r>
        <w:rPr>
          <w:rFonts w:hint="eastAsia"/>
          <w:color w:val="auto"/>
        </w:rPr>
        <w:t>厂房</w:t>
      </w:r>
      <w:r>
        <w:rPr>
          <w:color w:val="auto"/>
        </w:rPr>
        <w:t>分变配电所内高压配电装置采用负荷开关柜，变压器采用高压熔丝保护。</w:t>
      </w:r>
    </w:p>
    <w:p>
      <w:pPr>
        <w:bidi w:val="0"/>
        <w:rPr>
          <w:color w:val="auto"/>
          <w:lang w:val="en-US" w:eastAsia="zh-CN"/>
        </w:rPr>
      </w:pPr>
      <w:r>
        <w:rPr>
          <w:rFonts w:hint="eastAsia"/>
          <w:color w:val="auto"/>
          <w:lang w:val="en-US" w:eastAsia="zh-CN"/>
        </w:rPr>
        <w:t>（5）保护设置</w:t>
      </w:r>
    </w:p>
    <w:p>
      <w:pPr>
        <w:bidi w:val="0"/>
        <w:rPr>
          <w:color w:val="auto"/>
        </w:rPr>
      </w:pPr>
      <w:r>
        <w:rPr>
          <w:color w:val="auto"/>
        </w:rPr>
        <w:t>中心配高压配电系统采用带微处理器的多功能数字式综合继保装置。</w:t>
      </w:r>
    </w:p>
    <w:p>
      <w:pPr>
        <w:bidi w:val="0"/>
        <w:rPr>
          <w:color w:val="auto"/>
        </w:rPr>
      </w:pPr>
      <w:r>
        <w:rPr>
          <w:color w:val="auto"/>
        </w:rPr>
        <w:t>中心配高压进线开关采用过流、速断、低电压保护。</w:t>
      </w:r>
    </w:p>
    <w:p>
      <w:pPr>
        <w:bidi w:val="0"/>
        <w:rPr>
          <w:color w:val="auto"/>
        </w:rPr>
      </w:pPr>
      <w:r>
        <w:rPr>
          <w:color w:val="auto"/>
        </w:rPr>
        <w:t>中心配高压馈线开关采用过流、速断、零序电流保护。</w:t>
      </w:r>
    </w:p>
    <w:p>
      <w:pPr>
        <w:bidi w:val="0"/>
        <w:rPr>
          <w:color w:val="auto"/>
        </w:rPr>
      </w:pPr>
      <w:r>
        <w:rPr>
          <w:color w:val="auto"/>
        </w:rPr>
        <w:t>中心配高压母联开关采用过流、速断保护。</w:t>
      </w:r>
    </w:p>
    <w:p>
      <w:pPr>
        <w:bidi w:val="0"/>
        <w:rPr>
          <w:color w:val="auto"/>
        </w:rPr>
      </w:pPr>
      <w:r>
        <w:rPr>
          <w:color w:val="auto"/>
        </w:rPr>
        <w:t>低压配电系统主开关采用带微处理器的智能控制单元。</w:t>
      </w:r>
    </w:p>
    <w:p>
      <w:pPr>
        <w:bidi w:val="0"/>
        <w:rPr>
          <w:color w:val="auto"/>
        </w:rPr>
      </w:pPr>
      <w:r>
        <w:rPr>
          <w:color w:val="auto"/>
        </w:rPr>
        <w:t>低压主进线开关采用长延时、短延时、接地故障和失压保护。</w:t>
      </w:r>
    </w:p>
    <w:p>
      <w:pPr>
        <w:bidi w:val="0"/>
        <w:rPr>
          <w:color w:val="auto"/>
        </w:rPr>
      </w:pPr>
      <w:r>
        <w:rPr>
          <w:color w:val="auto"/>
        </w:rPr>
        <w:t>低压馈线开关采用长延时和瞬时保护。</w:t>
      </w:r>
    </w:p>
    <w:p>
      <w:pPr>
        <w:bidi w:val="0"/>
        <w:rPr>
          <w:rFonts w:hint="eastAsia"/>
          <w:color w:val="auto"/>
        </w:rPr>
      </w:pPr>
      <w:r>
        <w:rPr>
          <w:color w:val="auto"/>
        </w:rPr>
        <w:t>低压母联断路器和进线断路器设置三锁两钥匙连锁机构。</w:t>
      </w:r>
    </w:p>
    <w:p>
      <w:pPr>
        <w:bidi w:val="0"/>
        <w:rPr>
          <w:rFonts w:hint="eastAsia"/>
          <w:color w:val="auto"/>
          <w:lang w:val="en-US" w:eastAsia="zh-CN"/>
        </w:rPr>
      </w:pPr>
      <w:r>
        <w:rPr>
          <w:rFonts w:hint="eastAsia"/>
          <w:color w:val="auto"/>
          <w:lang w:val="en-US" w:eastAsia="zh-CN"/>
        </w:rPr>
        <w:t>（6）真空断路器</w:t>
      </w:r>
    </w:p>
    <w:p>
      <w:pPr>
        <w:bidi w:val="0"/>
        <w:rPr>
          <w:rFonts w:hint="eastAsia"/>
          <w:color w:val="auto"/>
        </w:rPr>
      </w:pPr>
      <w:r>
        <w:rPr>
          <w:color w:val="auto"/>
        </w:rPr>
        <w:t>真空断路器操作电源为DC110V，配60Ah专用直流操作电源。</w:t>
      </w:r>
    </w:p>
    <w:p>
      <w:pPr>
        <w:bidi w:val="0"/>
        <w:rPr>
          <w:rFonts w:hint="eastAsia"/>
          <w:color w:val="auto"/>
          <w:lang w:val="en-US" w:eastAsia="zh-CN"/>
        </w:rPr>
      </w:pPr>
      <w:r>
        <w:rPr>
          <w:rFonts w:hint="eastAsia"/>
          <w:color w:val="auto"/>
          <w:lang w:val="en-US" w:eastAsia="zh-CN"/>
        </w:rPr>
        <w:t>（7）高低压计量方式</w:t>
      </w:r>
    </w:p>
    <w:p>
      <w:pPr>
        <w:bidi w:val="0"/>
        <w:rPr>
          <w:rFonts w:hint="eastAsia"/>
          <w:color w:val="auto"/>
        </w:rPr>
      </w:pPr>
      <w:r>
        <w:rPr>
          <w:color w:val="auto"/>
        </w:rPr>
        <w:t>采用高、低压双计量方式，在</w:t>
      </w:r>
      <w:r>
        <w:rPr>
          <w:rFonts w:hint="eastAsia"/>
          <w:color w:val="auto"/>
        </w:rPr>
        <w:t>设备用房变</w:t>
      </w:r>
      <w:r>
        <w:rPr>
          <w:color w:val="auto"/>
        </w:rPr>
        <w:t>配电所内设置专用高压总计量柜（计量表计设专用计量小室，计量表计由供电部门选型或按供电部门的要求处理），合理设置分项计量装置，设置能耗监测数据采集系统。</w:t>
      </w:r>
    </w:p>
    <w:p>
      <w:pPr>
        <w:bidi w:val="0"/>
        <w:rPr>
          <w:color w:val="auto"/>
          <w:lang w:val="en-US" w:eastAsia="zh-CN"/>
        </w:rPr>
      </w:pPr>
      <w:r>
        <w:rPr>
          <w:rFonts w:hint="eastAsia"/>
          <w:color w:val="auto"/>
          <w:lang w:val="en-US" w:eastAsia="zh-CN"/>
        </w:rPr>
        <w:t>（8）功率因数补偿</w:t>
      </w:r>
    </w:p>
    <w:p>
      <w:pPr>
        <w:bidi w:val="0"/>
        <w:rPr>
          <w:color w:val="auto"/>
        </w:rPr>
      </w:pPr>
      <w:r>
        <w:rPr>
          <w:color w:val="auto"/>
        </w:rPr>
        <w:t>功率因数补偿方式：采取在变配电所低压侧集中补偿的方式，要求补偿后功率因数达到0.92以上。</w:t>
      </w:r>
    </w:p>
    <w:p>
      <w:pPr>
        <w:bidi w:val="0"/>
        <w:rPr>
          <w:rFonts w:hint="eastAsia"/>
          <w:color w:val="auto"/>
          <w:lang w:val="en-US" w:eastAsia="zh-CN"/>
        </w:rPr>
      </w:pPr>
      <w:r>
        <w:rPr>
          <w:rFonts w:hint="eastAsia"/>
          <w:color w:val="auto"/>
          <w:lang w:val="en-US" w:eastAsia="zh-CN"/>
        </w:rPr>
        <w:t>（9）谐波治理</w:t>
      </w:r>
    </w:p>
    <w:p>
      <w:pPr>
        <w:bidi w:val="0"/>
        <w:rPr>
          <w:rFonts w:hint="eastAsia"/>
          <w:color w:val="auto"/>
        </w:rPr>
      </w:pPr>
      <w:r>
        <w:rPr>
          <w:color w:val="auto"/>
        </w:rPr>
        <w:t>谐波治理：在每个电容补偿回路上串接调谐电抗器，电抗器采用14%电抗率的调谐滤波型，H级绝缘材料，耐温180°C。在每个变配电所（空调变压器除外）内设置集中有源滤波装置APF，有效降低谐波影响。</w:t>
      </w:r>
    </w:p>
    <w:p>
      <w:pPr>
        <w:pStyle w:val="3"/>
        <w:bidi w:val="0"/>
        <w:rPr>
          <w:rFonts w:hint="eastAsia"/>
          <w:color w:val="auto"/>
          <w:lang w:val="en-US" w:eastAsia="zh-CN"/>
        </w:rPr>
      </w:pPr>
      <w:r>
        <w:rPr>
          <w:rFonts w:hint="eastAsia"/>
          <w:color w:val="auto"/>
          <w:lang w:val="en-US" w:eastAsia="zh-CN"/>
        </w:rPr>
        <w:t>0.4kV配电系统</w:t>
      </w:r>
    </w:p>
    <w:p>
      <w:pPr>
        <w:bidi w:val="0"/>
        <w:rPr>
          <w:color w:val="auto"/>
        </w:rPr>
      </w:pPr>
      <w:r>
        <w:rPr>
          <w:rFonts w:hint="eastAsia"/>
          <w:color w:val="auto"/>
        </w:rPr>
        <w:t>低压配电系统采用220/380V放射式与树干式相结合的方式，对于单台容量较大的负荷或重要负荷采用放射式供电；对于照明及一般负荷采用树干式与放射式相结合的供电方式。</w:t>
      </w:r>
    </w:p>
    <w:p>
      <w:pPr>
        <w:bidi w:val="0"/>
        <w:rPr>
          <w:color w:val="auto"/>
        </w:rPr>
      </w:pPr>
      <w:r>
        <w:rPr>
          <w:rFonts w:hint="eastAsia"/>
          <w:color w:val="auto"/>
        </w:rPr>
        <w:t>二级负荷：</w:t>
      </w:r>
      <w:r>
        <w:rPr>
          <w:rFonts w:hint="eastAsia"/>
          <w:color w:val="auto"/>
          <w:lang w:val="en-US" w:eastAsia="zh-CN"/>
        </w:rPr>
        <w:t>宿舍楼公共照明、安防监控系统用电，</w:t>
      </w:r>
      <w:r>
        <w:rPr>
          <w:rFonts w:hint="eastAsia"/>
          <w:color w:val="auto"/>
        </w:rPr>
        <w:t>采用</w:t>
      </w:r>
      <w:r>
        <w:rPr>
          <w:rFonts w:hint="eastAsia"/>
          <w:color w:val="auto"/>
          <w:lang w:val="en-US" w:eastAsia="zh-CN"/>
        </w:rPr>
        <w:t>市电</w:t>
      </w:r>
      <w:r>
        <w:rPr>
          <w:rFonts w:hint="eastAsia"/>
          <w:color w:val="auto"/>
        </w:rPr>
        <w:t>电源</w:t>
      </w:r>
      <w:r>
        <w:rPr>
          <w:rFonts w:hint="eastAsia"/>
          <w:color w:val="auto"/>
          <w:lang w:val="en-US" w:eastAsia="zh-CN"/>
        </w:rPr>
        <w:t>+UPS电源</w:t>
      </w:r>
      <w:r>
        <w:rPr>
          <w:rFonts w:hint="eastAsia"/>
          <w:color w:val="auto"/>
        </w:rPr>
        <w:t>供电；</w:t>
      </w:r>
    </w:p>
    <w:p>
      <w:pPr>
        <w:bidi w:val="0"/>
        <w:rPr>
          <w:color w:val="auto"/>
        </w:rPr>
      </w:pPr>
      <w:r>
        <w:rPr>
          <w:rFonts w:hint="eastAsia"/>
          <w:color w:val="auto"/>
        </w:rPr>
        <w:t>三级负荷：采用单电源供电。</w:t>
      </w:r>
    </w:p>
    <w:p>
      <w:pPr>
        <w:bidi w:val="0"/>
        <w:rPr>
          <w:rFonts w:hint="eastAsia"/>
          <w:color w:val="auto"/>
        </w:rPr>
      </w:pPr>
      <w:r>
        <w:rPr>
          <w:rFonts w:hint="eastAsia"/>
          <w:color w:val="auto"/>
        </w:rPr>
        <w:t>本项目办公楼、宿舍楼及厂房屋面均设置分布式太阳能光伏发电系统，并于就近配电箱处与市电并网。</w:t>
      </w:r>
    </w:p>
    <w:p>
      <w:pPr>
        <w:pStyle w:val="3"/>
        <w:bidi w:val="0"/>
        <w:rPr>
          <w:rFonts w:hint="eastAsia"/>
          <w:color w:val="auto"/>
          <w:lang w:val="en-US" w:eastAsia="zh-CN"/>
        </w:rPr>
      </w:pPr>
      <w:r>
        <w:rPr>
          <w:rFonts w:hint="eastAsia"/>
          <w:color w:val="auto"/>
          <w:lang w:val="en-US" w:eastAsia="zh-CN"/>
        </w:rPr>
        <w:t>照明配电系统</w:t>
      </w:r>
    </w:p>
    <w:p>
      <w:pPr>
        <w:bidi w:val="0"/>
        <w:rPr>
          <w:color w:val="auto"/>
        </w:rPr>
      </w:pPr>
      <w:r>
        <w:rPr>
          <w:rFonts w:hint="eastAsia"/>
          <w:color w:val="auto"/>
        </w:rPr>
        <w:t>（1）照明灯具选型：</w:t>
      </w:r>
    </w:p>
    <w:p>
      <w:pPr>
        <w:bidi w:val="0"/>
        <w:rPr>
          <w:color w:val="auto"/>
        </w:rPr>
      </w:pPr>
      <w:r>
        <w:rPr>
          <w:rFonts w:hint="eastAsia"/>
          <w:color w:val="auto"/>
        </w:rPr>
        <w:t>走道、楼梯间、门厅、电梯厅等无人长期逗留的场所，选用发光二极管（LED）灯；疏散指示灯、出口标志灯、室内指向性装饰照明等选用发光二极管（LED）灯；其他一般场所采用荧光灯、金卤灯或其他节能型灯具对装修要求的场所视装修要求商定，同时应满足《建筑照明设计标准》和</w:t>
      </w:r>
      <w:r>
        <w:rPr>
          <w:color w:val="auto"/>
        </w:rPr>
        <w:t>《建筑节能与可再生能源利用通用规范》</w:t>
      </w:r>
      <w:r>
        <w:rPr>
          <w:rFonts w:hint="eastAsia"/>
          <w:color w:val="auto"/>
        </w:rPr>
        <w:t>中功率密度值要求。</w:t>
      </w:r>
    </w:p>
    <w:p>
      <w:pPr>
        <w:bidi w:val="0"/>
        <w:rPr>
          <w:color w:val="auto"/>
        </w:rPr>
      </w:pPr>
      <w:r>
        <w:rPr>
          <w:rFonts w:hint="eastAsia"/>
          <w:color w:val="auto"/>
        </w:rPr>
        <w:t>（2）照度要求：</w:t>
      </w:r>
    </w:p>
    <w:p>
      <w:pPr>
        <w:bidi w:val="0"/>
        <w:rPr>
          <w:rFonts w:hint="eastAsia"/>
          <w:color w:val="auto"/>
          <w:lang w:val="en-US" w:eastAsia="zh-CN"/>
        </w:rPr>
      </w:pPr>
      <w:r>
        <w:rPr>
          <w:rFonts w:hint="eastAsia"/>
          <w:color w:val="auto"/>
          <w:lang w:val="en-US" w:eastAsia="zh-CN"/>
        </w:rPr>
        <w:t>按现行国家标准《建筑照明设计标准》GB50034-2013和《建筑节能与可再生能源利用通用规范》GB55015-2021执行。</w:t>
      </w:r>
    </w:p>
    <w:p>
      <w:pPr>
        <w:bidi w:val="0"/>
        <w:rPr>
          <w:color w:val="auto"/>
        </w:rPr>
      </w:pPr>
      <w:r>
        <w:rPr>
          <w:rFonts w:hint="eastAsia"/>
          <w:color w:val="auto"/>
        </w:rPr>
        <w:t>（3）所有插座回路、电开水器回路、室外照明灯具回路均设剩余电流断路器保护。除注明外，照明回路、单相插座回路均为三线制（L+N+PE），平面图中不再标注。</w:t>
      </w:r>
    </w:p>
    <w:p>
      <w:pPr>
        <w:pStyle w:val="3"/>
        <w:bidi w:val="0"/>
        <w:rPr>
          <w:color w:val="auto"/>
          <w:lang w:val="en-US" w:eastAsia="zh-CN"/>
        </w:rPr>
      </w:pPr>
      <w:r>
        <w:rPr>
          <w:rFonts w:hint="eastAsia"/>
          <w:color w:val="auto"/>
          <w:lang w:val="en-US" w:eastAsia="zh-CN"/>
        </w:rPr>
        <w:t>消防应急照明系统</w:t>
      </w:r>
    </w:p>
    <w:p>
      <w:pPr>
        <w:bidi w:val="0"/>
        <w:rPr>
          <w:color w:val="auto"/>
        </w:rPr>
      </w:pPr>
      <w:r>
        <w:rPr>
          <w:rFonts w:hint="eastAsia"/>
          <w:color w:val="auto"/>
        </w:rPr>
        <w:t>本工程采用集中电源供电方式的集中电源非集中控制型的应急疏散照明系统。系统要求符合国家标准GB17945-2010《消防应急照明和疏散指示系统》的要求，并具备公安部的产品型式认可证书。</w:t>
      </w:r>
    </w:p>
    <w:p>
      <w:pPr>
        <w:bidi w:val="0"/>
        <w:rPr>
          <w:rFonts w:hint="eastAsia"/>
          <w:color w:val="auto"/>
        </w:rPr>
      </w:pPr>
      <w:r>
        <w:rPr>
          <w:rFonts w:hint="eastAsia"/>
          <w:color w:val="auto"/>
        </w:rPr>
        <w:t>消防应急照明及疏散指示标志系统：</w:t>
      </w:r>
    </w:p>
    <w:p>
      <w:pPr>
        <w:bidi w:val="0"/>
        <w:rPr>
          <w:rFonts w:hint="eastAsia"/>
          <w:color w:val="auto"/>
        </w:rPr>
      </w:pPr>
      <w:r>
        <w:rPr>
          <w:rFonts w:hint="eastAsia"/>
          <w:color w:val="auto"/>
        </w:rPr>
        <w:t>1）消防应急照明及疏散指示标志系统采用非集中控制型系统。</w:t>
      </w:r>
    </w:p>
    <w:p>
      <w:pPr>
        <w:bidi w:val="0"/>
        <w:rPr>
          <w:rFonts w:hint="eastAsia"/>
          <w:color w:val="auto"/>
        </w:rPr>
      </w:pPr>
      <w:r>
        <w:rPr>
          <w:rFonts w:hint="eastAsia"/>
          <w:color w:val="auto"/>
        </w:rPr>
        <w:t>2）灯具采用应急照明集中电源供电，灯具主电源额定工作电压DC36V，A型应急照明集中电源的防护等级不低于IP33，应急照明集中电源引自总照明配电箱。</w:t>
      </w:r>
    </w:p>
    <w:p>
      <w:pPr>
        <w:bidi w:val="0"/>
        <w:rPr>
          <w:rFonts w:hint="eastAsia"/>
          <w:color w:val="auto"/>
        </w:rPr>
      </w:pPr>
      <w:r>
        <w:rPr>
          <w:rFonts w:hint="eastAsia"/>
          <w:color w:val="auto"/>
        </w:rPr>
        <w:t>3）本项目疏散指示标志灯均选择大型标志灯。</w:t>
      </w:r>
    </w:p>
    <w:p>
      <w:pPr>
        <w:bidi w:val="0"/>
        <w:rPr>
          <w:rFonts w:hint="eastAsia"/>
          <w:color w:val="auto"/>
          <w:lang w:val="en-US" w:eastAsia="zh-CN"/>
        </w:rPr>
      </w:pPr>
      <w:r>
        <w:rPr>
          <w:rFonts w:hint="eastAsia"/>
          <w:color w:val="auto"/>
          <w:lang w:val="en-US" w:eastAsia="zh-CN"/>
        </w:rPr>
        <w:t>疏散照明的地面最低水平照度：建筑内疏散照明的地面最低水平照度应符合下列规定：</w:t>
      </w:r>
    </w:p>
    <w:p>
      <w:pPr>
        <w:bidi w:val="0"/>
        <w:rPr>
          <w:rFonts w:hint="eastAsia"/>
          <w:color w:val="auto"/>
          <w:lang w:val="en-US" w:eastAsia="zh-CN"/>
        </w:rPr>
      </w:pPr>
      <w:r>
        <w:rPr>
          <w:rFonts w:hint="eastAsia"/>
          <w:color w:val="auto"/>
          <w:lang w:val="en-US" w:eastAsia="zh-CN"/>
        </w:rPr>
        <w:t>1疏散楼梯间、疏散楼梯间的前室或合用前室、避难走道及其前室、避难层、避难间、消防专用通道，不应低于10.0lx；</w:t>
      </w:r>
    </w:p>
    <w:p>
      <w:pPr>
        <w:bidi w:val="0"/>
        <w:rPr>
          <w:rFonts w:hint="eastAsia"/>
          <w:color w:val="auto"/>
          <w:lang w:val="en-US" w:eastAsia="zh-CN"/>
        </w:rPr>
      </w:pPr>
      <w:r>
        <w:rPr>
          <w:rFonts w:hint="eastAsia"/>
          <w:color w:val="auto"/>
          <w:lang w:val="en-US" w:eastAsia="zh-CN"/>
        </w:rPr>
        <w:t>2疏散走道、人员密集的场所，不应低于3.0lx；</w:t>
      </w:r>
    </w:p>
    <w:p>
      <w:pPr>
        <w:bidi w:val="0"/>
        <w:rPr>
          <w:rFonts w:hint="eastAsia"/>
          <w:color w:val="auto"/>
          <w:lang w:val="en-US" w:eastAsia="zh-CN"/>
        </w:rPr>
      </w:pPr>
      <w:r>
        <w:rPr>
          <w:rFonts w:hint="eastAsia"/>
          <w:color w:val="auto"/>
          <w:lang w:val="en-US" w:eastAsia="zh-CN"/>
        </w:rPr>
        <w:t>3本条上述规定场所外的其他场所，不应低于1.0lx。</w:t>
      </w:r>
    </w:p>
    <w:p>
      <w:pPr>
        <w:bidi w:val="0"/>
        <w:rPr>
          <w:rFonts w:hint="eastAsia"/>
          <w:color w:val="auto"/>
        </w:rPr>
      </w:pPr>
      <w:r>
        <w:rPr>
          <w:rFonts w:hint="eastAsia"/>
          <w:color w:val="auto"/>
        </w:rPr>
        <w:t>消防应急照明及疏散指示标志灯具采用A型消防应急灯具（LED光源），光源色温不低于2700K；疏散指示标志灯采用持续型灯具，消防应急照明灯采用非持续型灯具。设置在距地面1m及以下的疏散指示标志灯的面板或灯罩不应采用易碎材料或玻璃材质；在顶棚、疏散路径上方设置的灯具的面板或灯罩不应采用玻璃材质。</w:t>
      </w:r>
    </w:p>
    <w:p>
      <w:pPr>
        <w:bidi w:val="0"/>
        <w:rPr>
          <w:rFonts w:hint="eastAsia"/>
          <w:color w:val="auto"/>
        </w:rPr>
      </w:pPr>
      <w:r>
        <w:rPr>
          <w:rFonts w:hint="eastAsia"/>
          <w:color w:val="auto"/>
        </w:rPr>
        <w:t>5）应急照明集中电源的输入及输出回路不应装设剩余电流动作保护器，输出回路严禁接入系统以外的开关装置、插座及其他负载。</w:t>
      </w:r>
    </w:p>
    <w:p>
      <w:pPr>
        <w:bidi w:val="0"/>
        <w:rPr>
          <w:rFonts w:hint="eastAsia"/>
          <w:color w:val="auto"/>
        </w:rPr>
      </w:pPr>
      <w:r>
        <w:rPr>
          <w:rFonts w:hint="eastAsia"/>
          <w:color w:val="auto"/>
        </w:rPr>
        <w:t>6）非火灾状态下，系统的正常工作模式设计应符合下列规定:</w:t>
      </w:r>
    </w:p>
    <w:p>
      <w:pPr>
        <w:bidi w:val="0"/>
        <w:rPr>
          <w:rFonts w:hint="eastAsia"/>
          <w:color w:val="auto"/>
        </w:rPr>
      </w:pPr>
      <w:r>
        <w:rPr>
          <w:rFonts w:hint="eastAsia"/>
          <w:color w:val="auto"/>
        </w:rPr>
        <w:t>应保持主电源为灯具供电；系统内非持续型照明灯应保持熄灭状态；系统内持续型灯具的光源应保持节电点亮状态。系统主电源断电后，系统的设计应符合以下规定：</w:t>
      </w:r>
    </w:p>
    <w:p>
      <w:pPr>
        <w:bidi w:val="0"/>
        <w:rPr>
          <w:rFonts w:hint="eastAsia"/>
          <w:color w:val="auto"/>
        </w:rPr>
      </w:pPr>
      <w:r>
        <w:rPr>
          <w:rFonts w:hint="eastAsia"/>
          <w:color w:val="auto"/>
        </w:rPr>
        <w:t>集中电源连锁控制其配接的非持续型照明灯的光源应急点亮、持续型灯具的光源由节电点亮模式转入应急点亮模式；灯具持续应急点亮时间不超过0.5h；系统主电源恢复后，集中电源连锁其配接灯具的光源恢复原工作状态；灯具持续点亮时间达到0.5h，且系统主电源仍未恢复供电时，集中电源连锁其配接灯具的光源熄灭。</w:t>
      </w:r>
    </w:p>
    <w:p>
      <w:pPr>
        <w:bidi w:val="0"/>
        <w:rPr>
          <w:rFonts w:hint="eastAsia"/>
          <w:color w:val="auto"/>
        </w:rPr>
      </w:pPr>
      <w:r>
        <w:rPr>
          <w:rFonts w:hint="eastAsia"/>
          <w:color w:val="auto"/>
        </w:rPr>
        <w:t>7）火灾状态下，系统自动应急启动的设计应符合下列规定：火灾确认后，应能手动控制系统的应急启动，系统的手动应急启动的设计应符合下列规定：</w:t>
      </w:r>
    </w:p>
    <w:p>
      <w:pPr>
        <w:bidi w:val="0"/>
        <w:rPr>
          <w:rFonts w:hint="eastAsia"/>
          <w:color w:val="auto"/>
        </w:rPr>
      </w:pPr>
      <w:r>
        <w:rPr>
          <w:rFonts w:hint="eastAsia"/>
          <w:color w:val="auto"/>
        </w:rPr>
        <w:t>灯具采用集中电源供电时，应能手动操作集中电源，控制集中电源转入蓄电池电源输出，同时控制其配接的所有非持续型照明灯的光源应急点亮、持续型灯具的光源由节电点亮模式转入应急点亮模式，火灾时蓄电池电源供电时的持续工作时间不小于1h。</w:t>
      </w:r>
    </w:p>
    <w:p>
      <w:pPr>
        <w:bidi w:val="0"/>
        <w:rPr>
          <w:rFonts w:hint="eastAsia"/>
          <w:color w:val="auto"/>
        </w:rPr>
      </w:pPr>
      <w:r>
        <w:rPr>
          <w:rFonts w:hint="eastAsia"/>
          <w:color w:val="auto"/>
        </w:rPr>
        <w:t>8）集中电源蓄电池可持续点亮应急照明灯具时间应不小于非火灾状态下和火灾状态下持续点亮应急照明灯具时间之和；集中电源的蓄电池组达到使用寿命周期后标称的剩余容量应保证放电时间满足持续工作时间不小于非火灾状态下和火灾状态下持续点亮应急照明灯具时间之和。</w:t>
      </w:r>
    </w:p>
    <w:p>
      <w:pPr>
        <w:bidi w:val="0"/>
        <w:rPr>
          <w:color w:val="auto"/>
        </w:rPr>
      </w:pPr>
      <w:r>
        <w:rPr>
          <w:rFonts w:hint="eastAsia"/>
          <w:color w:val="auto"/>
        </w:rPr>
        <w:t>4)照明控制</w:t>
      </w:r>
    </w:p>
    <w:p>
      <w:pPr>
        <w:bidi w:val="0"/>
        <w:rPr>
          <w:color w:val="auto"/>
        </w:rPr>
      </w:pPr>
      <w:r>
        <w:rPr>
          <w:rFonts w:hint="eastAsia"/>
          <w:color w:val="auto"/>
        </w:rPr>
        <w:t>a.照明控制采用就地开关控制为主，部分区域采用集中控制/智能控制，详见各平面图。</w:t>
      </w:r>
    </w:p>
    <w:p>
      <w:pPr>
        <w:bidi w:val="0"/>
        <w:rPr>
          <w:color w:val="auto"/>
        </w:rPr>
      </w:pPr>
      <w:r>
        <w:rPr>
          <w:rFonts w:hint="eastAsia"/>
          <w:color w:val="auto"/>
        </w:rPr>
        <w:t>b.每个房间的灯的开关数不宜少于二个（只设置一个光源的除外），同一室内装设有两个以上灯具时，开关所控灯具宜按与灯具采光窗距离远近分组，以充分利用自然光，节约能源。</w:t>
      </w:r>
    </w:p>
    <w:p>
      <w:pPr>
        <w:bidi w:val="0"/>
        <w:rPr>
          <w:color w:val="auto"/>
        </w:rPr>
      </w:pPr>
      <w:r>
        <w:rPr>
          <w:rFonts w:hint="eastAsia"/>
          <w:color w:val="auto"/>
        </w:rPr>
        <w:t>c.所有照明回路均设置PE线，平面图中不再标注，Ⅰ类灯具的外露可导电部分应可靠连接PE线接地。</w:t>
      </w:r>
    </w:p>
    <w:p>
      <w:pPr>
        <w:pStyle w:val="3"/>
        <w:bidi w:val="0"/>
        <w:rPr>
          <w:color w:val="auto"/>
          <w:lang w:val="en-US" w:eastAsia="zh-CN"/>
        </w:rPr>
      </w:pPr>
      <w:r>
        <w:rPr>
          <w:rFonts w:hint="eastAsia"/>
          <w:color w:val="auto"/>
          <w:lang w:val="en-US" w:eastAsia="zh-CN"/>
        </w:rPr>
        <w:t>设备安装</w:t>
      </w:r>
    </w:p>
    <w:p>
      <w:pPr>
        <w:bidi w:val="0"/>
        <w:rPr>
          <w:color w:val="auto"/>
        </w:rPr>
      </w:pPr>
      <w:r>
        <w:rPr>
          <w:rFonts w:hint="eastAsia"/>
          <w:color w:val="auto"/>
        </w:rPr>
        <w:t>（1）各层照明配电箱，除机房内、配电间（室）内、竖井内、防火分区隔墙上明装外，其它均为暗装（剪力墙上除外）；应急照明箱箱体，应作防火处理（刷防火漆）。</w:t>
      </w:r>
    </w:p>
    <w:p>
      <w:pPr>
        <w:bidi w:val="0"/>
        <w:rPr>
          <w:color w:val="auto"/>
        </w:rPr>
      </w:pPr>
      <w:r>
        <w:rPr>
          <w:rFonts w:hint="eastAsia"/>
          <w:color w:val="auto"/>
        </w:rPr>
        <w:t>（2）动力箱在竖井及机房内明装。箱体高度600mm以下，底边距地1.5m；600mm~800mm高，底边距地1.2m；800mm~1000mm高，底边距地1.0m；1000mm~1200mm高，底边距地0.8m；1200mm以上的，为落地式安装，下设300mm基座。</w:t>
      </w:r>
    </w:p>
    <w:p>
      <w:pPr>
        <w:bidi w:val="0"/>
        <w:rPr>
          <w:color w:val="auto"/>
        </w:rPr>
      </w:pPr>
      <w:r>
        <w:rPr>
          <w:rFonts w:hint="eastAsia"/>
          <w:color w:val="auto"/>
        </w:rPr>
        <w:t>（3）为防止火灾蔓延，应根据建筑物的使用性质，发生火灾时的扑救难度，选择相应燃烧性能等级的电力电缆、通信电缆和光缆。民用建筑中的电力电缆选择应符合下列规定：</w:t>
      </w:r>
    </w:p>
    <w:p>
      <w:pPr>
        <w:bidi w:val="0"/>
        <w:rPr>
          <w:color w:val="auto"/>
        </w:rPr>
      </w:pPr>
      <w:r>
        <w:rPr>
          <w:rFonts w:hint="eastAsia"/>
          <w:color w:val="auto"/>
          <w:lang w:val="en-US" w:eastAsia="zh-CN"/>
        </w:rPr>
        <w:t>a</w:t>
      </w:r>
      <w:r>
        <w:rPr>
          <w:rFonts w:hint="eastAsia"/>
          <w:color w:val="auto"/>
        </w:rPr>
        <w:t>.人员密集的公共场所，电线电缆燃烧性能应选用燃烧性能B1级、产烟毒性为t1级、燃烧滴落物／微粒等级为d1级；</w:t>
      </w:r>
    </w:p>
    <w:p>
      <w:pPr>
        <w:bidi w:val="0"/>
        <w:rPr>
          <w:color w:val="auto"/>
        </w:rPr>
      </w:pPr>
      <w:r>
        <w:rPr>
          <w:rFonts w:hint="eastAsia"/>
          <w:color w:val="auto"/>
          <w:lang w:val="en-US" w:eastAsia="zh-CN"/>
        </w:rPr>
        <w:t>b</w:t>
      </w:r>
      <w:r>
        <w:rPr>
          <w:rFonts w:hint="eastAsia"/>
          <w:color w:val="auto"/>
        </w:rPr>
        <w:t>.建筑物内水平布线和垂直布线选择的电线和电缆燃烧性能宜一致。</w:t>
      </w:r>
    </w:p>
    <w:p>
      <w:pPr>
        <w:bidi w:val="0"/>
        <w:rPr>
          <w:color w:val="auto"/>
        </w:rPr>
      </w:pPr>
      <w:r>
        <w:rPr>
          <w:rFonts w:hint="eastAsia"/>
          <w:color w:val="auto"/>
        </w:rPr>
        <w:t>（4）无障碍卫生间求助按钮0.5米和0.8米暗装，翘板开关1.0米</w:t>
      </w:r>
      <w:r>
        <w:rPr>
          <w:rFonts w:hint="eastAsia"/>
          <w:color w:val="auto"/>
          <w:spacing w:val="-20"/>
        </w:rPr>
        <w:t>暗装，卫生间门外求助声光报警装置门框上0.2米或离地2.5米安装。</w:t>
      </w:r>
    </w:p>
    <w:p>
      <w:pPr>
        <w:bidi w:val="0"/>
        <w:rPr>
          <w:color w:val="auto"/>
        </w:rPr>
      </w:pPr>
      <w:r>
        <w:rPr>
          <w:rFonts w:hint="eastAsia"/>
          <w:color w:val="auto"/>
        </w:rPr>
        <w:t>（5）本工程所有电源插座选用安全型电源插座，客梯及客货兼用的电梯均应具有断电就近自动平层开门功能。</w:t>
      </w:r>
    </w:p>
    <w:p>
      <w:pPr>
        <w:bidi w:val="0"/>
        <w:rPr>
          <w:color w:val="auto"/>
        </w:rPr>
      </w:pPr>
      <w:r>
        <w:rPr>
          <w:rFonts w:hint="eastAsia"/>
          <w:color w:val="auto"/>
        </w:rPr>
        <w:t>（6）开关、插座和照明灯具靠近可燃物时，应采取隔热、散热等防火保护措施（参考GB50016-2014第10.2.4条）。</w:t>
      </w:r>
    </w:p>
    <w:p>
      <w:pPr>
        <w:bidi w:val="0"/>
        <w:rPr>
          <w:color w:val="auto"/>
        </w:rPr>
      </w:pPr>
      <w:r>
        <w:rPr>
          <w:rFonts w:hint="eastAsia"/>
          <w:color w:val="auto"/>
        </w:rPr>
        <w:t>（7）对于相导体对地标称电压为220V的TN系统配电线路的接地故障保护，其切断故障回路的时间应符合下列要求：</w:t>
      </w:r>
    </w:p>
    <w:p>
      <w:pPr>
        <w:bidi w:val="0"/>
        <w:rPr>
          <w:color w:val="auto"/>
        </w:rPr>
      </w:pPr>
      <w:r>
        <w:rPr>
          <w:rFonts w:hint="eastAsia"/>
          <w:color w:val="auto"/>
        </w:rPr>
        <w:t>a.对于配电线路或仅供给固定式电气设备用电的末端线路，不应大于5s；</w:t>
      </w:r>
    </w:p>
    <w:p>
      <w:pPr>
        <w:bidi w:val="0"/>
        <w:rPr>
          <w:color w:val="auto"/>
        </w:rPr>
      </w:pPr>
      <w:r>
        <w:rPr>
          <w:rFonts w:hint="eastAsia"/>
          <w:color w:val="auto"/>
        </w:rPr>
        <w:t>b.对于供电给手持式电气设备和移动式电气设备末端线路或插座回路，不应大于0．4s。</w:t>
      </w:r>
    </w:p>
    <w:p>
      <w:pPr>
        <w:bidi w:val="0"/>
        <w:rPr>
          <w:color w:val="auto"/>
        </w:rPr>
      </w:pPr>
      <w:r>
        <w:rPr>
          <w:rFonts w:hint="eastAsia"/>
          <w:color w:val="auto"/>
        </w:rPr>
        <w:t>（8）出口标志灯在门上方安装，若门上无法安装时，在门旁墙上吊装；方向标志灯墙/柱上安装，底边距地0.3~0.5m，墙/柱上无法安装时，在疏散走道上方吊装或地面嵌装。</w:t>
      </w:r>
    </w:p>
    <w:p>
      <w:pPr>
        <w:bidi w:val="0"/>
        <w:rPr>
          <w:color w:val="auto"/>
        </w:rPr>
      </w:pPr>
      <w:r>
        <w:rPr>
          <w:rFonts w:hint="eastAsia"/>
          <w:color w:val="auto"/>
        </w:rPr>
        <w:t>（9）与设备配套的控制箱、柜，订货前应与设计人员配合。</w:t>
      </w:r>
    </w:p>
    <w:p>
      <w:pPr>
        <w:pStyle w:val="3"/>
        <w:bidi w:val="0"/>
        <w:rPr>
          <w:color w:val="auto"/>
          <w:lang w:val="en-US" w:eastAsia="zh-CN"/>
        </w:rPr>
      </w:pPr>
      <w:r>
        <w:rPr>
          <w:rFonts w:hint="eastAsia"/>
          <w:color w:val="auto"/>
          <w:lang w:val="en-US" w:eastAsia="zh-CN"/>
        </w:rPr>
        <w:t>电缆、导线的选型及敷设</w:t>
      </w:r>
    </w:p>
    <w:p>
      <w:pPr>
        <w:bidi w:val="0"/>
        <w:rPr>
          <w:color w:val="auto"/>
        </w:rPr>
      </w:pPr>
      <w:r>
        <w:rPr>
          <w:rFonts w:hint="eastAsia"/>
          <w:color w:val="auto"/>
        </w:rPr>
        <w:t>（1）消防设备出线选用NG-A矿物绝缘柔性耐火电缆或ZN-YJV电缆，工作温度：90℃。其他低压出线电缆选用YJV电缆，工作温度：90℃。电缆明敷在桥架上，普通电缆与消防设备电源电缆应分设桥架或做分隔，竖井内距离应大于300mm或采用隔离措施。若不敷设在桥架上，应穿镀锌钢管（SC）敷设。50平方米及以下，每30m设一拉线盒；70~95平方米每20m设一拉线盒子；120~240平方米，每18m设一拉线盒。明敷管线间距应大于两倍穿线管外径或采用隔离措施。电缆首末端、分支处及中间接头处应设标志牌。</w:t>
      </w:r>
    </w:p>
    <w:p>
      <w:pPr>
        <w:bidi w:val="0"/>
        <w:rPr>
          <w:color w:val="auto"/>
        </w:rPr>
      </w:pPr>
      <w:r>
        <w:rPr>
          <w:rFonts w:hint="eastAsia"/>
          <w:color w:val="auto"/>
        </w:rPr>
        <w:t>（2）配电线路从变配电所至各用电单位，除在专用电井内敷设时，普通负荷用电缆沿电缆托盘敷设，消防负荷用电缆应采用有防火保护的金属管或有防火保护的封闭式金属线槽（主供电缆、备用电缆分设在不同分隔内）敷设。配电干线采用单芯预分支电缆供电时，应特别注意单芯电缆安装方式，在竖井内单芯预分支电缆用防涡流固定支架安装。消防线路的封闭式线槽或明装金属管的表面应刷防火涂料，所有消防线路暗敷时，其保护管的不燃烧体结构保护层厚度不应小于30mm。</w:t>
      </w:r>
    </w:p>
    <w:p>
      <w:pPr>
        <w:bidi w:val="0"/>
        <w:rPr>
          <w:color w:val="auto"/>
        </w:rPr>
      </w:pPr>
      <w:r>
        <w:rPr>
          <w:rFonts w:hint="eastAsia"/>
          <w:color w:val="auto"/>
        </w:rPr>
        <w:t>（3）为防止火灾蔓延，应根据建筑物的使用性质，发生火灾时的扑救难度，选择相应燃烧性能等级的电力电缆、通信电缆和光缆。民用建筑中的电力电缆选择应符合下列规定：</w:t>
      </w:r>
    </w:p>
    <w:p>
      <w:pPr>
        <w:bidi w:val="0"/>
        <w:rPr>
          <w:color w:val="auto"/>
        </w:rPr>
      </w:pPr>
      <w:r>
        <w:rPr>
          <w:rFonts w:hint="eastAsia"/>
          <w:color w:val="auto"/>
          <w:lang w:val="en-US" w:eastAsia="zh-CN"/>
        </w:rPr>
        <w:t>a</w:t>
      </w:r>
      <w:r>
        <w:rPr>
          <w:rFonts w:hint="eastAsia"/>
          <w:color w:val="auto"/>
        </w:rPr>
        <w:t>.人员密集的公共场所，电线电缆燃烧性能应选用燃烧性能B1级、产烟毒性为t1级、燃烧滴落物／微粒等级为d1级；</w:t>
      </w:r>
    </w:p>
    <w:p>
      <w:pPr>
        <w:bidi w:val="0"/>
        <w:rPr>
          <w:color w:val="auto"/>
        </w:rPr>
      </w:pPr>
      <w:r>
        <w:rPr>
          <w:rFonts w:hint="eastAsia"/>
          <w:color w:val="auto"/>
          <w:lang w:val="en-US" w:eastAsia="zh-CN"/>
        </w:rPr>
        <w:t>b</w:t>
      </w:r>
      <w:r>
        <w:rPr>
          <w:rFonts w:hint="eastAsia"/>
          <w:color w:val="auto"/>
        </w:rPr>
        <w:t>.建筑物内水平布线和垂直布线选择的电线和电缆燃烧性能宜一致。</w:t>
      </w:r>
    </w:p>
    <w:p>
      <w:pPr>
        <w:bidi w:val="0"/>
        <w:rPr>
          <w:color w:val="auto"/>
        </w:rPr>
      </w:pPr>
      <w:r>
        <w:rPr>
          <w:rFonts w:hint="eastAsia"/>
          <w:color w:val="auto"/>
        </w:rPr>
        <w:t>（4）槽盒与线缆穿管的壁厚要求：当槽盒宽度小于400m时，壁厚采用1.5mm；当宽度在400mm~800mm之间时，壁厚采用2.0mm；当槽盒宽度大于800m时，壁厚采用2.5mm。明敷于潮湿场所或埋地敷设的金属管壁厚不应小于2.0mm，对于其他室内使用的穿线金属管明敷或暗敷于干燥场所的壁厚不应小于1.5mm。</w:t>
      </w:r>
    </w:p>
    <w:p>
      <w:pPr>
        <w:bidi w:val="0"/>
        <w:rPr>
          <w:color w:val="auto"/>
        </w:rPr>
      </w:pPr>
      <w:r>
        <w:rPr>
          <w:rFonts w:hint="eastAsia"/>
          <w:color w:val="auto"/>
        </w:rPr>
        <w:t>（5）明敷的金属导管应做防腐、防潮处理。敷设在钢筋混凝土现浇楼板内的线缆保护导管最大外径不应大于楼板厚度的1/3，敷设在垫层的线缆保护导管最大外径不应大于垫层厚度的1/2。线缆保护导管暗敷时，除消防电源线路外护层厚度不应小于30mm外，其余电源线路外护层厚度不应小于15mm。</w:t>
      </w:r>
    </w:p>
    <w:p>
      <w:pPr>
        <w:bidi w:val="0"/>
        <w:rPr>
          <w:color w:val="auto"/>
        </w:rPr>
      </w:pPr>
      <w:r>
        <w:rPr>
          <w:rFonts w:hint="eastAsia"/>
          <w:color w:val="auto"/>
        </w:rPr>
        <w:t>（6）在有可燃物的闷顶和封闭吊顶内明敷的配电线路，应采用金属导管或金属槽盒布线；暗敷于墙内或混凝土内的刚性塑料导管应采用燃烧性能等级B2级、壁厚1.8mm及以上的导管，明敷时应采用燃烧性能等级B1级、壁厚1.6mm及以上的导管；明敷设用的塑料导管、槽盒、接线盒、分线盒应采用阻燃性能分级为B1级的难燃制品。</w:t>
      </w:r>
    </w:p>
    <w:p>
      <w:pPr>
        <w:bidi w:val="0"/>
        <w:rPr>
          <w:color w:val="auto"/>
        </w:rPr>
      </w:pPr>
      <w:r>
        <w:rPr>
          <w:rFonts w:hint="eastAsia"/>
          <w:color w:val="auto"/>
        </w:rPr>
        <w:t>（7）各消防控制柜、箱至消防控制中心手动控制台的联动控制电缆平面布置见火灾报警系统图。</w:t>
      </w:r>
    </w:p>
    <w:p>
      <w:pPr>
        <w:bidi w:val="0"/>
        <w:rPr>
          <w:color w:val="auto"/>
        </w:rPr>
      </w:pPr>
      <w:r>
        <w:rPr>
          <w:rFonts w:hint="eastAsia"/>
          <w:color w:val="auto"/>
        </w:rPr>
        <w:t>（8）建筑内的竖井应符合下列规定：</w:t>
      </w:r>
    </w:p>
    <w:p>
      <w:pPr>
        <w:bidi w:val="0"/>
        <w:rPr>
          <w:color w:val="auto"/>
        </w:rPr>
      </w:pPr>
      <w:r>
        <w:rPr>
          <w:rFonts w:hint="eastAsia"/>
          <w:color w:val="auto"/>
        </w:rPr>
        <w:t>a.电缆井应独立设置，井壁的耐火极限不应低于1．00h，井壁上的检查门应采用丙级防火门。</w:t>
      </w:r>
    </w:p>
    <w:p>
      <w:pPr>
        <w:bidi w:val="0"/>
        <w:rPr>
          <w:color w:val="auto"/>
        </w:rPr>
      </w:pPr>
      <w:r>
        <w:rPr>
          <w:rFonts w:hint="eastAsia"/>
          <w:color w:val="auto"/>
        </w:rPr>
        <w:t>b.建筑内的电缆井、管道井应在每层楼板处采用不低于楼板耐火极限的不燃材料或防火封堵材料封堵；建筑内的电缆井、管道井与房间、走道等相连通的孔隙应采用防火封堵材料封堵。</w:t>
      </w:r>
    </w:p>
    <w:p>
      <w:pPr>
        <w:bidi w:val="0"/>
        <w:rPr>
          <w:rFonts w:hint="eastAsia"/>
          <w:color w:val="auto"/>
          <w:lang w:eastAsia="zh-CN"/>
        </w:rPr>
      </w:pPr>
      <w:r>
        <w:rPr>
          <w:rFonts w:hint="eastAsia"/>
          <w:color w:val="auto"/>
        </w:rPr>
        <w:t>（8）为防止火灾蔓延，管线穿越防火隔墙、楼板和防火墙处应采用防火封堵材料封堵：</w:t>
      </w:r>
    </w:p>
    <w:p>
      <w:pPr>
        <w:bidi w:val="0"/>
        <w:rPr>
          <w:color w:val="auto"/>
        </w:rPr>
      </w:pPr>
      <w:r>
        <w:rPr>
          <w:rFonts w:hint="eastAsia"/>
          <w:color w:val="auto"/>
        </w:rPr>
        <w:t>a.管道不宜穿过防火墙，确需穿过时，应采用防火封堵材料将墙与管道之间的空隙紧密填实，穿过防火墙处的管道保温材料，应采用不燃材料；当管道为难燃及可燃材料时，应在防火墙两侧的管道上采取防火措施。</w:t>
      </w:r>
    </w:p>
    <w:p>
      <w:pPr>
        <w:bidi w:val="0"/>
        <w:rPr>
          <w:color w:val="auto"/>
        </w:rPr>
      </w:pPr>
      <w:r>
        <w:rPr>
          <w:rFonts w:hint="eastAsia"/>
          <w:color w:val="auto"/>
        </w:rPr>
        <w:t>b.电线、电缆的管道不宜穿过建筑内的变形缝，确需穿过时，应在穿过处加设不燃材料制作的套管或采取其他防变形措施，并应采用防火封堵材料封堵。</w:t>
      </w:r>
    </w:p>
    <w:p>
      <w:pPr>
        <w:bidi w:val="0"/>
        <w:rPr>
          <w:color w:val="auto"/>
        </w:rPr>
      </w:pPr>
      <w:r>
        <w:rPr>
          <w:rFonts w:hint="eastAsia"/>
          <w:color w:val="auto"/>
        </w:rPr>
        <w:t>c.管道在穿越防火隔墙、楼板和防火墙处的孔隙应采用防火封堵材料封堵。</w:t>
      </w:r>
    </w:p>
    <w:p>
      <w:pPr>
        <w:bidi w:val="0"/>
        <w:rPr>
          <w:color w:val="auto"/>
        </w:rPr>
      </w:pPr>
      <w:r>
        <w:rPr>
          <w:rFonts w:hint="eastAsia"/>
          <w:color w:val="auto"/>
        </w:rPr>
        <w:t>（10）凡管线经过伸缩沉降缝时应做好伸缩补偿装置，具体做法可参照建筑电气工程施工安装图集《18D802》P36~P43页次。</w:t>
      </w:r>
    </w:p>
    <w:p>
      <w:pPr>
        <w:bidi w:val="0"/>
        <w:rPr>
          <w:color w:val="auto"/>
        </w:rPr>
      </w:pPr>
      <w:r>
        <w:rPr>
          <w:rFonts w:hint="eastAsia"/>
          <w:color w:val="auto"/>
        </w:rPr>
        <w:t>（11）有耐火要求的线路，矿物绝缘电缆中间连接附件的耐火等极不应低于电缆本体的耐火等级。</w:t>
      </w:r>
    </w:p>
    <w:p>
      <w:pPr>
        <w:bidi w:val="0"/>
        <w:rPr>
          <w:color w:val="auto"/>
        </w:rPr>
      </w:pPr>
      <w:r>
        <w:rPr>
          <w:rFonts w:hint="eastAsia"/>
          <w:color w:val="auto"/>
        </w:rPr>
        <w:t>（12）交流系统单芯电缆敷设应采取下列防涡流措施：a）电缆应分回路进出钢制配电箱（柜）、桥架；b）电缆应采用金属件固定或金属线绑扎，且不得形成闭合铁磁回路；c）当电缆穿过钢管（钢套管）或钢筋混凝土楼板、墙体的预留洞时，电缆应分回路敷设。</w:t>
      </w:r>
    </w:p>
    <w:p>
      <w:pPr>
        <w:bidi w:val="0"/>
        <w:rPr>
          <w:color w:val="auto"/>
        </w:rPr>
      </w:pPr>
      <w:r>
        <w:rPr>
          <w:rFonts w:hint="eastAsia"/>
          <w:color w:val="auto"/>
        </w:rPr>
        <w:t>（13）当管线过长时，中间应做接线盒，接线盒规格由施工单位自行决定。竖向线路沿强电竖井内桥架敷设，必须将电缆和管线进行加固绑扎防因自重下垂将电缆或管线损坏，电缆管线和配电箱在竖井内的安装见电气标准图集"04D701-1"。</w:t>
      </w:r>
    </w:p>
    <w:p>
      <w:pPr>
        <w:bidi w:val="0"/>
        <w:rPr>
          <w:color w:val="auto"/>
        </w:rPr>
      </w:pPr>
      <w:r>
        <w:rPr>
          <w:rFonts w:hint="eastAsia"/>
          <w:color w:val="auto"/>
        </w:rPr>
        <w:t>（14）当有不同电压或不同种类导线在同一线槽中敷设时应做分隔；所有电缆桥架、线槽、穿线金属管均应做好跨接线。</w:t>
      </w:r>
    </w:p>
    <w:p>
      <w:pPr>
        <w:bidi w:val="0"/>
        <w:rPr>
          <w:color w:val="auto"/>
        </w:rPr>
      </w:pPr>
      <w:r>
        <w:rPr>
          <w:rFonts w:hint="eastAsia"/>
          <w:color w:val="auto"/>
        </w:rPr>
        <w:t>（15）当矿物绝缘电缆铜护套作为保护导体使用时，终端接地铜片的最小截面积不应小于电缆铜护套截面积，电缆接地连接线允许最小截面积应符合JGJ232-2011-4.10.1的规定。</w:t>
      </w:r>
    </w:p>
    <w:p>
      <w:pPr>
        <w:pStyle w:val="3"/>
        <w:bidi w:val="0"/>
        <w:rPr>
          <w:color w:val="auto"/>
          <w:lang w:val="en-US" w:eastAsia="zh-CN"/>
        </w:rPr>
      </w:pPr>
      <w:r>
        <w:rPr>
          <w:rFonts w:hint="eastAsia"/>
          <w:color w:val="auto"/>
          <w:lang w:val="en-US" w:eastAsia="zh-CN"/>
        </w:rPr>
        <w:t>防雷接地</w:t>
      </w:r>
    </w:p>
    <w:p>
      <w:pPr>
        <w:bidi w:val="0"/>
        <w:rPr>
          <w:color w:val="auto"/>
        </w:rPr>
      </w:pPr>
      <w:r>
        <w:rPr>
          <w:rFonts w:hint="eastAsia"/>
          <w:color w:val="auto"/>
        </w:rPr>
        <w:t>（1）本工程</w:t>
      </w:r>
      <w:r>
        <w:rPr>
          <w:rFonts w:hint="eastAsia"/>
          <w:color w:val="auto"/>
          <w:lang w:val="en-US" w:eastAsia="zh-CN"/>
        </w:rPr>
        <w:t>宿舍楼为人员密集场所，</w:t>
      </w:r>
      <w:r>
        <w:rPr>
          <w:rFonts w:hint="eastAsia"/>
          <w:color w:val="auto"/>
        </w:rPr>
        <w:t>按第二类防雷措施设防</w:t>
      </w:r>
      <w:r>
        <w:rPr>
          <w:rFonts w:hint="eastAsia"/>
          <w:color w:val="auto"/>
          <w:lang w:eastAsia="zh-CN"/>
        </w:rPr>
        <w:t>；</w:t>
      </w:r>
      <w:r>
        <w:rPr>
          <w:rFonts w:hint="eastAsia"/>
          <w:color w:val="auto"/>
          <w:lang w:val="en-US" w:eastAsia="zh-CN"/>
        </w:rPr>
        <w:t>其他单体按第三类防雷设防；</w:t>
      </w:r>
      <w:r>
        <w:rPr>
          <w:rFonts w:hint="eastAsia"/>
          <w:color w:val="auto"/>
        </w:rPr>
        <w:t>建筑的防雷装置满足防直击雷、防雷电感应及雷电波的侵入，并设置总等电位联结。</w:t>
      </w:r>
    </w:p>
    <w:p>
      <w:pPr>
        <w:bidi w:val="0"/>
        <w:rPr>
          <w:rFonts w:hint="eastAsia"/>
          <w:color w:val="auto"/>
          <w:lang w:eastAsia="zh-CN"/>
        </w:rPr>
      </w:pPr>
      <w:r>
        <w:rPr>
          <w:rFonts w:hint="eastAsia"/>
          <w:color w:val="auto"/>
        </w:rPr>
        <w:t>（2）屋顶设置接闪器：在屋顶采用Φ12热镀锌圆钢作接闪带，</w:t>
      </w:r>
      <w:r>
        <w:rPr>
          <w:rFonts w:hint="eastAsia"/>
          <w:color w:val="auto"/>
          <w:lang w:val="en-US" w:eastAsia="zh-CN"/>
        </w:rPr>
        <w:t>第二类防雷</w:t>
      </w:r>
      <w:r>
        <w:rPr>
          <w:rFonts w:hint="eastAsia"/>
          <w:color w:val="auto"/>
        </w:rPr>
        <w:t>屋顶接闪连接线网格不大于10mx10m或12mx8m</w:t>
      </w:r>
      <w:r>
        <w:rPr>
          <w:rFonts w:hint="eastAsia"/>
          <w:color w:val="auto"/>
          <w:lang w:eastAsia="zh-CN"/>
        </w:rPr>
        <w:t>；</w:t>
      </w:r>
      <w:r>
        <w:rPr>
          <w:rFonts w:hint="eastAsia"/>
          <w:color w:val="auto"/>
          <w:lang w:val="en-US" w:eastAsia="zh-CN"/>
        </w:rPr>
        <w:t>第三类防雷</w:t>
      </w:r>
      <w:r>
        <w:rPr>
          <w:rFonts w:hint="eastAsia"/>
          <w:color w:val="auto"/>
        </w:rPr>
        <w:t>屋顶接闪连接线网格不大于</w:t>
      </w:r>
      <w:r>
        <w:rPr>
          <w:rFonts w:hint="eastAsia"/>
          <w:color w:val="auto"/>
          <w:lang w:val="en-US" w:eastAsia="zh-CN"/>
        </w:rPr>
        <w:t>2</w:t>
      </w:r>
      <w:r>
        <w:rPr>
          <w:rFonts w:hint="eastAsia"/>
          <w:color w:val="auto"/>
        </w:rPr>
        <w:t>0mx</w:t>
      </w:r>
      <w:r>
        <w:rPr>
          <w:rFonts w:hint="eastAsia"/>
          <w:color w:val="auto"/>
          <w:lang w:val="en-US" w:eastAsia="zh-CN"/>
        </w:rPr>
        <w:t>2</w:t>
      </w:r>
      <w:r>
        <w:rPr>
          <w:rFonts w:hint="eastAsia"/>
          <w:color w:val="auto"/>
        </w:rPr>
        <w:t>0m或</w:t>
      </w:r>
      <w:r>
        <w:rPr>
          <w:rFonts w:hint="eastAsia"/>
          <w:color w:val="auto"/>
          <w:lang w:val="en-US" w:eastAsia="zh-CN"/>
        </w:rPr>
        <w:t>24</w:t>
      </w:r>
      <w:r>
        <w:rPr>
          <w:rFonts w:hint="eastAsia"/>
          <w:color w:val="auto"/>
        </w:rPr>
        <w:t>mx</w:t>
      </w:r>
      <w:r>
        <w:rPr>
          <w:rFonts w:hint="eastAsia"/>
          <w:color w:val="auto"/>
          <w:lang w:val="en-US" w:eastAsia="zh-CN"/>
        </w:rPr>
        <w:t>16</w:t>
      </w:r>
      <w:r>
        <w:rPr>
          <w:rFonts w:hint="eastAsia"/>
          <w:color w:val="auto"/>
        </w:rPr>
        <w:t>m。</w:t>
      </w:r>
    </w:p>
    <w:p>
      <w:pPr>
        <w:bidi w:val="0"/>
        <w:rPr>
          <w:color w:val="auto"/>
        </w:rPr>
      </w:pPr>
      <w:r>
        <w:rPr>
          <w:rFonts w:hint="eastAsia"/>
          <w:color w:val="auto"/>
        </w:rPr>
        <w:t>（3）外墙设引下线：建筑物防雷装置宜利用建筑物钢结构或结构柱的钢筋作为引下线。敷设在混凝土结构柱中作引下线的钢筋仅为一根时，其直径不应小于10mm。当利用构造柱内钢筋时，其截面积总和不应小于一根直径10mm钢筋的截面积，且多根钢筋应通过箍筋绑扎或焊接连通。引下线间距</w:t>
      </w:r>
      <w:r>
        <w:rPr>
          <w:rFonts w:hint="eastAsia"/>
          <w:color w:val="auto"/>
          <w:lang w:eastAsia="zh-CN"/>
        </w:rPr>
        <w:t>，</w:t>
      </w:r>
      <w:r>
        <w:rPr>
          <w:rFonts w:hint="eastAsia"/>
          <w:color w:val="auto"/>
          <w:lang w:val="en-US" w:eastAsia="zh-CN"/>
        </w:rPr>
        <w:t>二类防雷</w:t>
      </w:r>
      <w:r>
        <w:rPr>
          <w:rFonts w:hint="eastAsia"/>
          <w:color w:val="auto"/>
        </w:rPr>
        <w:t>不大于18m</w:t>
      </w:r>
      <w:r>
        <w:rPr>
          <w:rFonts w:hint="eastAsia"/>
          <w:color w:val="auto"/>
          <w:lang w:eastAsia="zh-CN"/>
        </w:rPr>
        <w:t>，</w:t>
      </w:r>
      <w:r>
        <w:rPr>
          <w:rFonts w:hint="eastAsia"/>
          <w:color w:val="auto"/>
          <w:lang w:val="en-US" w:eastAsia="zh-CN"/>
        </w:rPr>
        <w:t>三类防雷</w:t>
      </w:r>
      <w:r>
        <w:rPr>
          <w:rFonts w:hint="eastAsia"/>
          <w:color w:val="auto"/>
        </w:rPr>
        <w:t>不大于</w:t>
      </w:r>
      <w:r>
        <w:rPr>
          <w:rFonts w:hint="eastAsia"/>
          <w:color w:val="auto"/>
          <w:lang w:val="en-US" w:eastAsia="zh-CN"/>
        </w:rPr>
        <w:t>25</w:t>
      </w:r>
      <w:r>
        <w:rPr>
          <w:rFonts w:hint="eastAsia"/>
          <w:color w:val="auto"/>
        </w:rPr>
        <w:t>m，引下线上端与接闪带、均压环焊接，下端与建筑物基础接地网焊接。除平面图已标注的引下线外，建筑物四周和内庭院四周的柱子内的钢筋应与屋面接闪器、接地网焊接、可靠连通。构件内有箍筋连接的钢筋或成网状的钢筋，其箍筋与钢筋、钢筋与钢筋应采用土建施工的绑扎法、螺丝、对焊或搭焊连接。单根钢筋、圆钢或外引预埋连接板、线与构件内钢筋应焊接或采用螺栓紧固的卡夹器连接。构件之间必须连接成电气通路。</w:t>
      </w:r>
    </w:p>
    <w:p>
      <w:pPr>
        <w:bidi w:val="0"/>
        <w:rPr>
          <w:color w:val="auto"/>
        </w:rPr>
      </w:pPr>
      <w:r>
        <w:rPr>
          <w:rFonts w:hint="eastAsia"/>
          <w:color w:val="auto"/>
        </w:rPr>
        <w:t>（4）凡突出屋面的所有金属构件，如：卫星天线基座（电视天线金属杆）、金属通风管、屋顶风机、金属屋面、金属屋架等均应与接闪带可靠焊接。</w:t>
      </w:r>
    </w:p>
    <w:p>
      <w:pPr>
        <w:bidi w:val="0"/>
        <w:rPr>
          <w:color w:val="auto"/>
        </w:rPr>
      </w:pPr>
      <w:r>
        <w:rPr>
          <w:rFonts w:hint="eastAsia"/>
          <w:color w:val="auto"/>
        </w:rPr>
        <w:t>（5）接地极：接地极为建筑物桩基、建筑物地梁、基础底板轴线上的上下两层主筋中的两根通长焊接形成的基础接地网组成。当采用敷设在钢筋混凝土中的单根钢筋作为防雷装置时，钢筋的直径不应小于10mm。</w:t>
      </w:r>
    </w:p>
    <w:p>
      <w:pPr>
        <w:bidi w:val="0"/>
        <w:rPr>
          <w:color w:val="auto"/>
        </w:rPr>
      </w:pPr>
      <w:r>
        <w:rPr>
          <w:rFonts w:hint="eastAsia"/>
          <w:color w:val="auto"/>
        </w:rPr>
        <w:t>（6）在建筑物防雷引下线首层墙柱外侧（基础接地平面图中指定位置）高于地面0.5米处预埋接地引出端子板（平装饰柱面），供测量接地电阻用，作法见《08D800-8》P114。</w:t>
      </w:r>
    </w:p>
    <w:p>
      <w:pPr>
        <w:bidi w:val="0"/>
        <w:rPr>
          <w:color w:val="auto"/>
        </w:rPr>
      </w:pPr>
      <w:r>
        <w:rPr>
          <w:rFonts w:hint="eastAsia"/>
          <w:color w:val="auto"/>
        </w:rPr>
        <w:t>（7）本工程防雷接地、电气设备的工作接地、保护接地、通信系统接地等的接地共用统一接地极，要求接地电阻不大于1欧，实测不满足要求时，增设人工接地极。</w:t>
      </w:r>
    </w:p>
    <w:p>
      <w:pPr>
        <w:bidi w:val="0"/>
        <w:rPr>
          <w:color w:val="auto"/>
        </w:rPr>
      </w:pPr>
      <w:r>
        <w:rPr>
          <w:rFonts w:hint="eastAsia"/>
          <w:color w:val="auto"/>
        </w:rPr>
        <w:t>（8）强、弱电竖井内敷设一条-40x4mm热镀锌扁钢，将接地体与强、弱电竖井内接地相连。电缆桥架及其支架全长应不少于两处与接地干线连接。强、弱电竖井内的接地线其下端应与接地网可靠连接。水平与垂直接地扁钢间应可靠焊接。</w:t>
      </w:r>
    </w:p>
    <w:p>
      <w:pPr>
        <w:bidi w:val="0"/>
        <w:rPr>
          <w:color w:val="auto"/>
        </w:rPr>
      </w:pPr>
      <w:r>
        <w:rPr>
          <w:rFonts w:hint="eastAsia"/>
          <w:color w:val="auto"/>
        </w:rPr>
        <w:t>（9）垂直敷设的金属管道及金属物的底端及顶端应与防雷装置连接。</w:t>
      </w:r>
    </w:p>
    <w:p>
      <w:pPr>
        <w:bidi w:val="0"/>
        <w:rPr>
          <w:color w:val="auto"/>
        </w:rPr>
      </w:pPr>
      <w:r>
        <w:rPr>
          <w:rFonts w:hint="eastAsia"/>
          <w:color w:val="auto"/>
        </w:rPr>
        <w:t>（10）凡正常不带电，而当绝缘破坏有可能呈现电压的一切电气设备金属外壳均应可靠接地。</w:t>
      </w:r>
    </w:p>
    <w:p>
      <w:pPr>
        <w:bidi w:val="0"/>
        <w:rPr>
          <w:color w:val="auto"/>
        </w:rPr>
      </w:pPr>
      <w:r>
        <w:rPr>
          <w:rFonts w:hint="eastAsia"/>
          <w:color w:val="auto"/>
        </w:rPr>
        <w:t>（11）本工程采用总等电位联结，总等电位板由紫铜板制成，应将建筑物内保护干线、设备进线总管、建筑物金属构件进行联结，总等电位联结均采用各种型号的等电位卡子，不允许在金属管道上焊接。盥洗室、淋浴室采用局部等电位联结，从适当的地方引出两根大于Φ16结构钢筋至局部等电位箱LEB，局部等电位联结箱暗装。将两个相邻盥洗室内所有金属管道、构件联结。具体做法参考国家建筑标准设计15D502《等电位联结安装》。</w:t>
      </w:r>
    </w:p>
    <w:p>
      <w:pPr>
        <w:bidi w:val="0"/>
        <w:rPr>
          <w:color w:val="auto"/>
        </w:rPr>
      </w:pPr>
      <w:r>
        <w:rPr>
          <w:rFonts w:hint="eastAsia"/>
          <w:color w:val="auto"/>
        </w:rPr>
        <w:t>（12）当电源采用TN系统时，从建筑物总配电箱起供电给本建筑物内的配电线路和分支线路必须采用TN-S系统（即系统中的PEN导体从进户处总配电箱分为中性导体和保护导体后，不得再将这些导体互相连接），电源在进户处做重复接地，并与防雷接地共用接地极。</w:t>
      </w:r>
    </w:p>
    <w:p>
      <w:pPr>
        <w:pStyle w:val="3"/>
        <w:bidi w:val="0"/>
        <w:rPr>
          <w:color w:val="auto"/>
          <w:lang w:val="en-US" w:eastAsia="zh-CN"/>
        </w:rPr>
      </w:pPr>
      <w:r>
        <w:rPr>
          <w:rFonts w:hint="eastAsia"/>
          <w:color w:val="auto"/>
          <w:lang w:val="en-US" w:eastAsia="zh-CN"/>
        </w:rPr>
        <w:t>建筑电气工程通病防治</w:t>
      </w:r>
    </w:p>
    <w:p>
      <w:pPr>
        <w:bidi w:val="0"/>
        <w:rPr>
          <w:rFonts w:hint="eastAsia"/>
          <w:color w:val="auto"/>
          <w:lang w:eastAsia="zh-CN"/>
        </w:rPr>
      </w:pPr>
      <w:r>
        <w:rPr>
          <w:rFonts w:hint="eastAsia"/>
          <w:color w:val="auto"/>
        </w:rPr>
        <w:t>（1）照明开关高度为装饰地面上1.4m，离门边距离为0.15m~0.2m。</w:t>
      </w:r>
    </w:p>
    <w:p>
      <w:pPr>
        <w:bidi w:val="0"/>
        <w:rPr>
          <w:color w:val="auto"/>
        </w:rPr>
      </w:pPr>
      <w:r>
        <w:rPr>
          <w:rFonts w:hint="eastAsia"/>
          <w:color w:val="auto"/>
        </w:rPr>
        <w:t>（2）严禁利用室外地坪以下到1.0m以内的圈梁和底板做接地极。</w:t>
      </w:r>
    </w:p>
    <w:p>
      <w:pPr>
        <w:bidi w:val="0"/>
        <w:rPr>
          <w:color w:val="auto"/>
        </w:rPr>
      </w:pPr>
      <w:r>
        <w:rPr>
          <w:rFonts w:hint="eastAsia"/>
          <w:color w:val="auto"/>
        </w:rPr>
        <w:t>（3）公共部位照明开关应采用声控或光控开关，不得采用触摸开关。</w:t>
      </w:r>
    </w:p>
    <w:p>
      <w:pPr>
        <w:bidi w:val="0"/>
        <w:rPr>
          <w:color w:val="auto"/>
        </w:rPr>
      </w:pPr>
      <w:r>
        <w:rPr>
          <w:rFonts w:hint="eastAsia"/>
          <w:color w:val="auto"/>
        </w:rPr>
        <w:t>（4）电线（缆）导管严禁成排、成列和成捆敷设在现浇楼板内、墙体内。</w:t>
      </w:r>
    </w:p>
    <w:p>
      <w:pPr>
        <w:bidi w:val="0"/>
        <w:rPr>
          <w:color w:val="auto"/>
        </w:rPr>
      </w:pPr>
      <w:r>
        <w:rPr>
          <w:rFonts w:hint="eastAsia"/>
          <w:color w:val="auto"/>
        </w:rPr>
        <w:t>（5）电线（缆）导管弯曲部位不应有折皱、凹陷、扁、裂等现</w:t>
      </w:r>
      <w:r>
        <w:rPr>
          <w:rFonts w:hint="eastAsia"/>
          <w:color w:val="auto"/>
          <w:spacing w:val="-20"/>
        </w:rPr>
        <w:t>象，且一般暗敷弯曲半径应大于6D，埋设地下或混凝土内时应大于10D。</w:t>
      </w:r>
    </w:p>
    <w:p>
      <w:pPr>
        <w:bidi w:val="0"/>
        <w:rPr>
          <w:color w:val="auto"/>
        </w:rPr>
      </w:pPr>
      <w:r>
        <w:rPr>
          <w:rFonts w:hint="eastAsia"/>
          <w:color w:val="auto"/>
        </w:rPr>
        <w:t>（6）金属软管应接地，且不得作为接地（PE）或接零（PEN）的连续导体使用。</w:t>
      </w:r>
    </w:p>
    <w:p>
      <w:pPr>
        <w:bidi w:val="0"/>
        <w:rPr>
          <w:color w:val="auto"/>
        </w:rPr>
      </w:pPr>
      <w:r>
        <w:rPr>
          <w:rFonts w:hint="eastAsia"/>
          <w:color w:val="auto"/>
        </w:rPr>
        <w:t>（7）金属钢导管应采用壁厚不小于1.5mm的热浸镀锌管，当为非套接紧式刚导管（JDG）管材配件时，均应在接头处增设专用接地跨线且线径不小于4平方毫米铜芯软线。</w:t>
      </w:r>
    </w:p>
    <w:p>
      <w:pPr>
        <w:bidi w:val="0"/>
        <w:rPr>
          <w:rFonts w:hint="eastAsia"/>
          <w:color w:val="auto"/>
        </w:rPr>
      </w:pPr>
      <w:r>
        <w:rPr>
          <w:rFonts w:hint="eastAsia"/>
          <w:color w:val="auto"/>
        </w:rPr>
        <w:t>（8）敷设在混凝土内绝缘导管应采用重型导管，并有连接的阻燃标记和厂标。</w:t>
      </w:r>
    </w:p>
    <w:p>
      <w:pPr>
        <w:bidi w:val="0"/>
        <w:rPr>
          <w:rFonts w:hint="eastAsia"/>
          <w:color w:val="auto"/>
          <w:spacing w:val="-20"/>
        </w:rPr>
      </w:pPr>
      <w:r>
        <w:rPr>
          <w:rFonts w:hint="eastAsia"/>
          <w:color w:val="auto"/>
          <w:spacing w:val="-20"/>
        </w:rPr>
        <w:t>（9）管内导线的总截面（包括绝缘层）应不大于导管内截面的40%。</w:t>
      </w:r>
    </w:p>
    <w:p>
      <w:pPr>
        <w:bidi w:val="0"/>
        <w:rPr>
          <w:rFonts w:hint="eastAsia"/>
          <w:color w:val="auto"/>
        </w:rPr>
      </w:pPr>
      <w:r>
        <w:rPr>
          <w:rFonts w:hint="eastAsia"/>
          <w:color w:val="auto"/>
        </w:rPr>
        <w:t>（10）金属线槽及其支架全长应不少于2处接地（PE）或接零（PEN）干线相连接；非镀锌线槽间连接板的两端跨接铜芯接地线，接地线最小允许截面积不小于4mm²；镀锌线槽间连接板的两端可不跨接接地，但连接板两端不少于2个防松螺帽或防松垫圈的连接固定螺栓。</w:t>
      </w:r>
    </w:p>
    <w:p>
      <w:pPr>
        <w:bidi w:val="0"/>
        <w:rPr>
          <w:rFonts w:hint="eastAsia"/>
          <w:color w:val="auto"/>
        </w:rPr>
      </w:pPr>
      <w:r>
        <w:rPr>
          <w:rFonts w:hint="eastAsia"/>
          <w:color w:val="auto"/>
        </w:rPr>
        <w:t>（11）金属线槽内的电线或电缆的总截面（包括外护层），不应超过线槽截面积的20%，载流导线不宜超过30根，切线槽内不应有接头。</w:t>
      </w:r>
    </w:p>
    <w:p>
      <w:pPr>
        <w:bidi w:val="0"/>
        <w:rPr>
          <w:rFonts w:hint="eastAsia"/>
          <w:color w:val="auto"/>
        </w:rPr>
      </w:pPr>
      <w:r>
        <w:rPr>
          <w:rFonts w:hint="eastAsia"/>
          <w:color w:val="auto"/>
        </w:rPr>
        <w:t>（12）多股铜芯线应拧紧搪锡或接持续端子后与设备器具连接，且连接处螺栓应有平垫圈和防松垫圈，并拧紧。</w:t>
      </w:r>
    </w:p>
    <w:p>
      <w:pPr>
        <w:bidi w:val="0"/>
        <w:rPr>
          <w:rFonts w:hint="eastAsia"/>
          <w:color w:val="auto"/>
        </w:rPr>
      </w:pPr>
      <w:r>
        <w:rPr>
          <w:rFonts w:hint="eastAsia"/>
          <w:color w:val="auto"/>
        </w:rPr>
        <w:t>（13）严禁单股铜线成捆共压接续端子与设备、器具端子连接。</w:t>
      </w:r>
    </w:p>
    <w:p>
      <w:pPr>
        <w:bidi w:val="0"/>
        <w:rPr>
          <w:rFonts w:hint="eastAsia"/>
          <w:color w:val="auto"/>
        </w:rPr>
      </w:pPr>
      <w:r>
        <w:rPr>
          <w:rFonts w:hint="eastAsia"/>
          <w:color w:val="auto"/>
        </w:rPr>
        <w:t>（14）电缆在桥架内敷设时，电缆的总截面（包括外护层）与桥架截面面积之比，电力电缆不应大于40%，控制电缆不应大于50%。</w:t>
      </w:r>
    </w:p>
    <w:p>
      <w:pPr>
        <w:bidi w:val="0"/>
        <w:rPr>
          <w:rFonts w:hint="eastAsia"/>
          <w:color w:val="auto"/>
        </w:rPr>
      </w:pPr>
      <w:r>
        <w:rPr>
          <w:rFonts w:hint="eastAsia"/>
          <w:color w:val="auto"/>
        </w:rPr>
        <w:t>（15）同一建筑电缆绝缘层颜色应一致，即保护线（PE）黄绿相间色，零线淡兰色，相线L1-黄色，L2-绿色，L3-红色。</w:t>
      </w:r>
    </w:p>
    <w:p>
      <w:pPr>
        <w:bidi w:val="0"/>
        <w:rPr>
          <w:rFonts w:hint="eastAsia"/>
          <w:color w:val="auto"/>
        </w:rPr>
      </w:pPr>
      <w:r>
        <w:rPr>
          <w:rFonts w:hint="eastAsia"/>
          <w:color w:val="auto"/>
        </w:rPr>
        <w:t>（16）照明回路相线应进开关。</w:t>
      </w:r>
    </w:p>
    <w:p>
      <w:pPr>
        <w:bidi w:val="0"/>
        <w:rPr>
          <w:rFonts w:hint="eastAsia"/>
          <w:color w:val="auto"/>
        </w:rPr>
      </w:pPr>
      <w:r>
        <w:rPr>
          <w:rFonts w:hint="eastAsia"/>
          <w:color w:val="auto"/>
        </w:rPr>
        <w:t>（17）接地装置的材料均应选择热镀锌产品（埋设于混凝土中除外）。</w:t>
      </w:r>
    </w:p>
    <w:p>
      <w:pPr>
        <w:bidi w:val="0"/>
        <w:rPr>
          <w:rFonts w:hint="eastAsia"/>
          <w:color w:val="auto"/>
        </w:rPr>
      </w:pPr>
      <w:r>
        <w:rPr>
          <w:rFonts w:hint="eastAsia"/>
          <w:color w:val="auto"/>
        </w:rPr>
        <w:t>（18）电源插座均选用安全型插座；室外采用防水型开关插座；卫生间插座宜设置在卫生间的外墙上；厨房、卫生间插座采用防溅水型的插座。</w:t>
      </w:r>
    </w:p>
    <w:p>
      <w:pPr>
        <w:bidi w:val="0"/>
        <w:rPr>
          <w:rFonts w:hint="eastAsia"/>
          <w:color w:val="auto"/>
        </w:rPr>
      </w:pPr>
      <w:r>
        <w:rPr>
          <w:rFonts w:hint="eastAsia"/>
          <w:color w:val="auto"/>
        </w:rPr>
        <w:t>（19）灯具距地高度低于2.4m时，应有专用接地螺栓，且可靠接地（PE）或接零（PEN）。</w:t>
      </w:r>
    </w:p>
    <w:p>
      <w:pPr>
        <w:bidi w:val="0"/>
        <w:rPr>
          <w:rFonts w:hint="eastAsia"/>
          <w:color w:val="auto"/>
        </w:rPr>
      </w:pPr>
      <w:r>
        <w:rPr>
          <w:rFonts w:hint="eastAsia"/>
          <w:color w:val="auto"/>
        </w:rPr>
        <w:t>（20）电线、电缆的连接金具规格与芯数应适配，严禁使用开口端子，且多股线剪芯。</w:t>
      </w:r>
    </w:p>
    <w:p>
      <w:pPr>
        <w:bidi w:val="0"/>
        <w:rPr>
          <w:rFonts w:hint="eastAsia"/>
          <w:color w:val="auto"/>
        </w:rPr>
      </w:pPr>
      <w:r>
        <w:rPr>
          <w:rFonts w:hint="eastAsia"/>
          <w:color w:val="auto"/>
        </w:rPr>
        <w:t>（21）低压配电系统选择的电缆电线截面积不得低于设计值，进场时应对其截面和每芯导体电阻进行见证取样送检。</w:t>
      </w:r>
    </w:p>
    <w:p>
      <w:pPr>
        <w:bidi w:val="0"/>
        <w:rPr>
          <w:rFonts w:hint="eastAsia"/>
          <w:color w:val="auto"/>
        </w:rPr>
      </w:pPr>
      <w:r>
        <w:rPr>
          <w:rFonts w:hint="eastAsia"/>
          <w:color w:val="auto"/>
        </w:rPr>
        <w:t>（22）三相或单相交流单芯电缆，不得单独穿于钢管内。</w:t>
      </w:r>
    </w:p>
    <w:p>
      <w:pPr>
        <w:bidi w:val="0"/>
        <w:rPr>
          <w:rFonts w:hint="eastAsia"/>
          <w:color w:val="auto"/>
        </w:rPr>
      </w:pPr>
      <w:r>
        <w:rPr>
          <w:rFonts w:hint="eastAsia"/>
          <w:color w:val="auto"/>
        </w:rPr>
        <w:t>（23）严禁将电线导管敷设在保温层中。</w:t>
      </w:r>
    </w:p>
    <w:p>
      <w:pPr>
        <w:bidi w:val="0"/>
        <w:rPr>
          <w:rFonts w:hint="eastAsia"/>
          <w:color w:val="auto"/>
        </w:rPr>
      </w:pPr>
      <w:r>
        <w:rPr>
          <w:rFonts w:hint="eastAsia"/>
          <w:color w:val="auto"/>
        </w:rPr>
        <w:t>（24）建筑设备工程系统节能性能检测结果应合格。</w:t>
      </w:r>
    </w:p>
    <w:p>
      <w:pPr>
        <w:bidi w:val="0"/>
        <w:rPr>
          <w:rFonts w:hint="eastAsia"/>
          <w:color w:val="auto"/>
        </w:rPr>
      </w:pPr>
      <w:r>
        <w:rPr>
          <w:rFonts w:hint="eastAsia"/>
          <w:color w:val="auto"/>
        </w:rPr>
        <w:t>（25）设有洗浴设备的卫生间所有外露金属部分（不包括孤立金属物）及插座的保护线均应与辅助等电位盒连接。</w:t>
      </w:r>
    </w:p>
    <w:p>
      <w:pPr>
        <w:pStyle w:val="3"/>
        <w:bidi w:val="0"/>
        <w:rPr>
          <w:rFonts w:hint="eastAsia"/>
          <w:color w:val="auto"/>
        </w:rPr>
      </w:pPr>
      <w:r>
        <w:rPr>
          <w:rFonts w:hint="eastAsia"/>
          <w:color w:val="auto"/>
        </w:rPr>
        <w:t>电气负荷计算书</w:t>
      </w:r>
    </w:p>
    <w:p>
      <w:pPr>
        <w:pStyle w:val="17"/>
        <w:bidi w:val="0"/>
        <w:rPr>
          <w:color w:val="auto"/>
          <w:lang w:val="en-US" w:eastAsia="zh-CN"/>
        </w:rPr>
      </w:pPr>
      <w:r>
        <w:rPr>
          <w:color w:val="auto"/>
        </w:rPr>
        <w:drawing>
          <wp:inline distT="0" distB="0" distL="114300" distR="114300">
            <wp:extent cx="6241415" cy="3685540"/>
            <wp:effectExtent l="0" t="0" r="6985" b="1016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8"/>
                    <a:stretch>
                      <a:fillRect/>
                    </a:stretch>
                  </pic:blipFill>
                  <pic:spPr>
                    <a:xfrm>
                      <a:off x="0" y="0"/>
                      <a:ext cx="6241415" cy="3685540"/>
                    </a:xfrm>
                    <a:prstGeom prst="rect">
                      <a:avLst/>
                    </a:prstGeom>
                    <a:noFill/>
                    <a:ln>
                      <a:noFill/>
                    </a:ln>
                  </pic:spPr>
                </pic:pic>
              </a:graphicData>
            </a:graphic>
          </wp:inline>
        </w:drawing>
      </w:r>
    </w:p>
    <w:p>
      <w:pPr>
        <w:pStyle w:val="3"/>
        <w:bidi w:val="0"/>
        <w:rPr>
          <w:rFonts w:hint="eastAsia"/>
          <w:color w:val="auto"/>
          <w:lang w:val="en-US" w:eastAsia="zh-CN"/>
        </w:rPr>
      </w:pPr>
      <w:r>
        <w:rPr>
          <w:rFonts w:hint="eastAsia"/>
          <w:color w:val="auto"/>
          <w:lang w:val="en-US" w:eastAsia="zh-CN"/>
        </w:rPr>
        <w:t>主要设备表</w:t>
      </w:r>
    </w:p>
    <w:tbl>
      <w:tblPr>
        <w:tblStyle w:val="14"/>
        <w:tblW w:w="9638"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076"/>
        <w:gridCol w:w="2255"/>
        <w:gridCol w:w="3365"/>
        <w:gridCol w:w="763"/>
        <w:gridCol w:w="638"/>
        <w:gridCol w:w="1541"/>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jc w:val="center"/>
        </w:trPr>
        <w:tc>
          <w:tcPr>
            <w:tcW w:w="1076" w:type="dxa"/>
            <w:tcBorders>
              <w:top w:val="single" w:color="auto" w:sz="18" w:space="0"/>
              <w:left w:val="single" w:color="auto" w:sz="18" w:space="0"/>
              <w:bottom w:val="single" w:color="auto" w:sz="6" w:space="0"/>
              <w:right w:val="single" w:color="auto" w:sz="6" w:space="0"/>
            </w:tcBorders>
            <w:noWrap w:val="0"/>
            <w:vAlign w:val="center"/>
          </w:tcPr>
          <w:p>
            <w:pPr>
              <w:pStyle w:val="17"/>
              <w:bidi w:val="0"/>
              <w:rPr>
                <w:color w:val="auto"/>
              </w:rPr>
            </w:pPr>
            <w:r>
              <w:rPr>
                <w:rFonts w:hint="eastAsia"/>
                <w:color w:val="auto"/>
              </w:rPr>
              <w:t>序号</w:t>
            </w:r>
          </w:p>
        </w:tc>
        <w:tc>
          <w:tcPr>
            <w:tcW w:w="2255" w:type="dxa"/>
            <w:tcBorders>
              <w:top w:val="single" w:color="auto" w:sz="18"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名称</w:t>
            </w:r>
          </w:p>
        </w:tc>
        <w:tc>
          <w:tcPr>
            <w:tcW w:w="3365" w:type="dxa"/>
            <w:tcBorders>
              <w:top w:val="single" w:color="auto" w:sz="18"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型号规格</w:t>
            </w:r>
          </w:p>
        </w:tc>
        <w:tc>
          <w:tcPr>
            <w:tcW w:w="763" w:type="dxa"/>
            <w:tcBorders>
              <w:top w:val="single" w:color="auto" w:sz="18"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数量</w:t>
            </w:r>
          </w:p>
        </w:tc>
        <w:tc>
          <w:tcPr>
            <w:tcW w:w="638" w:type="dxa"/>
            <w:tcBorders>
              <w:top w:val="single" w:color="auto" w:sz="18"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单位</w:t>
            </w:r>
          </w:p>
        </w:tc>
        <w:tc>
          <w:tcPr>
            <w:tcW w:w="1541" w:type="dxa"/>
            <w:tcBorders>
              <w:top w:val="single" w:color="auto" w:sz="18" w:space="0"/>
              <w:left w:val="nil"/>
              <w:bottom w:val="single" w:color="auto" w:sz="6" w:space="0"/>
              <w:right w:val="single" w:color="auto" w:sz="18" w:space="0"/>
            </w:tcBorders>
            <w:noWrap w:val="0"/>
            <w:vAlign w:val="center"/>
          </w:tcPr>
          <w:p>
            <w:pPr>
              <w:pStyle w:val="17"/>
              <w:bidi w:val="0"/>
              <w:rPr>
                <w:rFonts w:hint="eastAsia"/>
                <w:color w:val="auto"/>
              </w:rPr>
            </w:pPr>
            <w:r>
              <w:rPr>
                <w:rFonts w:hint="eastAsia"/>
                <w:color w:val="auto"/>
              </w:rPr>
              <w:t>备注</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jc w:val="center"/>
        </w:trPr>
        <w:tc>
          <w:tcPr>
            <w:tcW w:w="1076" w:type="dxa"/>
            <w:tcBorders>
              <w:top w:val="single" w:color="auto" w:sz="6" w:space="0"/>
              <w:left w:val="single" w:color="auto" w:sz="18" w:space="0"/>
              <w:bottom w:val="single" w:color="auto" w:sz="6" w:space="0"/>
              <w:right w:val="single" w:color="auto" w:sz="6" w:space="0"/>
            </w:tcBorders>
            <w:noWrap w:val="0"/>
            <w:vAlign w:val="center"/>
          </w:tcPr>
          <w:p>
            <w:pPr>
              <w:pStyle w:val="17"/>
              <w:bidi w:val="0"/>
              <w:rPr>
                <w:rFonts w:hint="eastAsia"/>
                <w:color w:val="auto"/>
              </w:rPr>
            </w:pPr>
            <w:r>
              <w:rPr>
                <w:rFonts w:hint="eastAsia"/>
                <w:color w:val="auto"/>
              </w:rPr>
              <w:t>01</w:t>
            </w:r>
          </w:p>
        </w:tc>
        <w:tc>
          <w:tcPr>
            <w:tcW w:w="225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高压开关柜</w:t>
            </w:r>
          </w:p>
        </w:tc>
        <w:tc>
          <w:tcPr>
            <w:tcW w:w="336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KYN28-12</w:t>
            </w:r>
          </w:p>
        </w:tc>
        <w:tc>
          <w:tcPr>
            <w:tcW w:w="763"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lang w:eastAsia="zh-CN"/>
              </w:rPr>
            </w:pPr>
            <w:r>
              <w:rPr>
                <w:rFonts w:hint="eastAsia"/>
                <w:color w:val="auto"/>
                <w:lang w:val="en-US" w:eastAsia="zh-CN"/>
              </w:rPr>
              <w:t>7</w:t>
            </w:r>
          </w:p>
        </w:tc>
        <w:tc>
          <w:tcPr>
            <w:tcW w:w="638"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台</w:t>
            </w:r>
          </w:p>
        </w:tc>
        <w:tc>
          <w:tcPr>
            <w:tcW w:w="1541" w:type="dxa"/>
            <w:tcBorders>
              <w:top w:val="single" w:color="auto" w:sz="6" w:space="0"/>
              <w:left w:val="nil"/>
              <w:bottom w:val="single" w:color="auto" w:sz="6" w:space="0"/>
              <w:right w:val="single" w:color="auto" w:sz="18" w:space="0"/>
            </w:tcBorders>
            <w:noWrap w:val="0"/>
            <w:vAlign w:val="center"/>
          </w:tcPr>
          <w:p>
            <w:pPr>
              <w:pStyle w:val="17"/>
              <w:bidi w:val="0"/>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jc w:val="center"/>
        </w:trPr>
        <w:tc>
          <w:tcPr>
            <w:tcW w:w="1076" w:type="dxa"/>
            <w:tcBorders>
              <w:top w:val="single" w:color="auto" w:sz="6" w:space="0"/>
              <w:left w:val="single" w:color="auto" w:sz="18" w:space="0"/>
              <w:bottom w:val="single" w:color="auto" w:sz="6" w:space="0"/>
              <w:right w:val="single" w:color="auto" w:sz="6" w:space="0"/>
            </w:tcBorders>
            <w:noWrap w:val="0"/>
            <w:vAlign w:val="center"/>
          </w:tcPr>
          <w:p>
            <w:pPr>
              <w:pStyle w:val="17"/>
              <w:bidi w:val="0"/>
              <w:rPr>
                <w:rFonts w:hint="eastAsia"/>
                <w:color w:val="auto"/>
              </w:rPr>
            </w:pPr>
            <w:r>
              <w:rPr>
                <w:rFonts w:hint="eastAsia"/>
                <w:color w:val="auto"/>
              </w:rPr>
              <w:t>02</w:t>
            </w:r>
          </w:p>
        </w:tc>
        <w:tc>
          <w:tcPr>
            <w:tcW w:w="2255" w:type="dxa"/>
            <w:tcBorders>
              <w:top w:val="single" w:color="auto" w:sz="6" w:space="0"/>
              <w:left w:val="nil"/>
              <w:bottom w:val="single" w:color="auto" w:sz="6" w:space="0"/>
              <w:right w:val="single" w:color="auto" w:sz="6" w:space="0"/>
            </w:tcBorders>
            <w:noWrap w:val="0"/>
            <w:vAlign w:val="top"/>
          </w:tcPr>
          <w:p>
            <w:pPr>
              <w:pStyle w:val="17"/>
              <w:bidi w:val="0"/>
              <w:rPr>
                <w:rFonts w:hint="eastAsia"/>
                <w:color w:val="auto"/>
              </w:rPr>
            </w:pPr>
            <w:r>
              <w:rPr>
                <w:rFonts w:hint="eastAsia"/>
                <w:color w:val="auto"/>
              </w:rPr>
              <w:t>直流屏</w:t>
            </w:r>
          </w:p>
        </w:tc>
        <w:tc>
          <w:tcPr>
            <w:tcW w:w="3365" w:type="dxa"/>
            <w:tcBorders>
              <w:top w:val="single" w:color="auto" w:sz="6" w:space="0"/>
              <w:left w:val="nil"/>
              <w:bottom w:val="single" w:color="auto" w:sz="6" w:space="0"/>
              <w:right w:val="single" w:color="auto" w:sz="6" w:space="0"/>
            </w:tcBorders>
            <w:noWrap w:val="0"/>
            <w:vAlign w:val="top"/>
          </w:tcPr>
          <w:p>
            <w:pPr>
              <w:pStyle w:val="17"/>
              <w:bidi w:val="0"/>
              <w:rPr>
                <w:rFonts w:hint="eastAsia"/>
                <w:color w:val="auto"/>
              </w:rPr>
            </w:pPr>
            <w:r>
              <w:rPr>
                <w:color w:val="auto"/>
              </w:rPr>
              <w:t>40</w:t>
            </w:r>
            <w:r>
              <w:rPr>
                <w:rFonts w:hint="eastAsia"/>
                <w:color w:val="auto"/>
              </w:rPr>
              <w:t>AH</w:t>
            </w:r>
          </w:p>
        </w:tc>
        <w:tc>
          <w:tcPr>
            <w:tcW w:w="763" w:type="dxa"/>
            <w:tcBorders>
              <w:top w:val="single" w:color="auto" w:sz="6" w:space="0"/>
              <w:left w:val="nil"/>
              <w:bottom w:val="single" w:color="auto" w:sz="6" w:space="0"/>
              <w:right w:val="single" w:color="auto" w:sz="6" w:space="0"/>
            </w:tcBorders>
            <w:noWrap w:val="0"/>
            <w:vAlign w:val="top"/>
          </w:tcPr>
          <w:p>
            <w:pPr>
              <w:pStyle w:val="17"/>
              <w:bidi w:val="0"/>
              <w:rPr>
                <w:rFonts w:hint="eastAsia"/>
                <w:color w:val="auto"/>
              </w:rPr>
            </w:pPr>
            <w:r>
              <w:rPr>
                <w:rFonts w:hint="eastAsia"/>
                <w:color w:val="auto"/>
              </w:rPr>
              <w:t>1</w:t>
            </w:r>
          </w:p>
        </w:tc>
        <w:tc>
          <w:tcPr>
            <w:tcW w:w="638" w:type="dxa"/>
            <w:tcBorders>
              <w:top w:val="single" w:color="auto" w:sz="6" w:space="0"/>
              <w:left w:val="nil"/>
              <w:bottom w:val="single" w:color="auto" w:sz="6" w:space="0"/>
              <w:right w:val="single" w:color="auto" w:sz="6" w:space="0"/>
            </w:tcBorders>
            <w:noWrap w:val="0"/>
            <w:vAlign w:val="top"/>
          </w:tcPr>
          <w:p>
            <w:pPr>
              <w:pStyle w:val="17"/>
              <w:bidi w:val="0"/>
              <w:rPr>
                <w:rFonts w:hint="eastAsia"/>
                <w:color w:val="auto"/>
              </w:rPr>
            </w:pPr>
            <w:r>
              <w:rPr>
                <w:rFonts w:hint="eastAsia"/>
                <w:color w:val="auto"/>
              </w:rPr>
              <w:t>台</w:t>
            </w:r>
          </w:p>
        </w:tc>
        <w:tc>
          <w:tcPr>
            <w:tcW w:w="1541" w:type="dxa"/>
            <w:tcBorders>
              <w:top w:val="single" w:color="auto" w:sz="6" w:space="0"/>
              <w:left w:val="nil"/>
              <w:bottom w:val="single" w:color="auto" w:sz="6" w:space="0"/>
              <w:right w:val="single" w:color="auto" w:sz="18" w:space="0"/>
            </w:tcBorders>
            <w:noWrap w:val="0"/>
            <w:vAlign w:val="center"/>
          </w:tcPr>
          <w:p>
            <w:pPr>
              <w:pStyle w:val="17"/>
              <w:bidi w:val="0"/>
              <w:rPr>
                <w:rFonts w:hint="eastAsia"/>
                <w:color w:val="auto"/>
              </w:rPr>
            </w:pPr>
            <w:r>
              <w:rPr>
                <w:rFonts w:hint="eastAsia"/>
                <w:color w:val="auto"/>
              </w:rPr>
              <w:t>DC110V</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jc w:val="center"/>
        </w:trPr>
        <w:tc>
          <w:tcPr>
            <w:tcW w:w="1076" w:type="dxa"/>
            <w:tcBorders>
              <w:top w:val="single" w:color="auto" w:sz="6" w:space="0"/>
              <w:left w:val="single" w:color="auto" w:sz="18" w:space="0"/>
              <w:bottom w:val="single" w:color="auto" w:sz="6" w:space="0"/>
              <w:right w:val="single" w:color="auto" w:sz="6" w:space="0"/>
            </w:tcBorders>
            <w:noWrap w:val="0"/>
            <w:vAlign w:val="center"/>
          </w:tcPr>
          <w:p>
            <w:pPr>
              <w:pStyle w:val="17"/>
              <w:bidi w:val="0"/>
              <w:rPr>
                <w:rFonts w:hint="eastAsia"/>
                <w:color w:val="auto"/>
              </w:rPr>
            </w:pPr>
            <w:r>
              <w:rPr>
                <w:rFonts w:hint="eastAsia"/>
                <w:color w:val="auto"/>
              </w:rPr>
              <w:t>03</w:t>
            </w:r>
          </w:p>
        </w:tc>
        <w:tc>
          <w:tcPr>
            <w:tcW w:w="225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有源滤波柜</w:t>
            </w:r>
          </w:p>
        </w:tc>
        <w:tc>
          <w:tcPr>
            <w:tcW w:w="336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color w:val="auto"/>
              </w:rPr>
              <w:t>JL-APF(M)0.4-200A</w:t>
            </w:r>
            <w:r>
              <w:rPr>
                <w:rFonts w:hint="eastAsia"/>
                <w:color w:val="auto"/>
              </w:rPr>
              <w:t>-4-A</w:t>
            </w:r>
          </w:p>
        </w:tc>
        <w:tc>
          <w:tcPr>
            <w:tcW w:w="763"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color w:val="auto"/>
              </w:rPr>
              <w:t>12</w:t>
            </w:r>
          </w:p>
        </w:tc>
        <w:tc>
          <w:tcPr>
            <w:tcW w:w="638"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台</w:t>
            </w:r>
          </w:p>
        </w:tc>
        <w:tc>
          <w:tcPr>
            <w:tcW w:w="1541" w:type="dxa"/>
            <w:tcBorders>
              <w:top w:val="single" w:color="auto" w:sz="6" w:space="0"/>
              <w:left w:val="nil"/>
              <w:bottom w:val="single" w:color="auto" w:sz="6" w:space="0"/>
              <w:right w:val="single" w:color="auto" w:sz="18" w:space="0"/>
            </w:tcBorders>
            <w:noWrap w:val="0"/>
            <w:vAlign w:val="center"/>
          </w:tcPr>
          <w:p>
            <w:pPr>
              <w:pStyle w:val="17"/>
              <w:bidi w:val="0"/>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jc w:val="center"/>
        </w:trPr>
        <w:tc>
          <w:tcPr>
            <w:tcW w:w="1076" w:type="dxa"/>
            <w:tcBorders>
              <w:top w:val="single" w:color="auto" w:sz="6" w:space="0"/>
              <w:left w:val="single" w:color="auto" w:sz="18" w:space="0"/>
              <w:bottom w:val="single" w:color="auto" w:sz="6" w:space="0"/>
              <w:right w:val="single" w:color="auto" w:sz="6" w:space="0"/>
            </w:tcBorders>
            <w:noWrap w:val="0"/>
            <w:vAlign w:val="center"/>
          </w:tcPr>
          <w:p>
            <w:pPr>
              <w:pStyle w:val="17"/>
              <w:bidi w:val="0"/>
              <w:rPr>
                <w:rFonts w:hint="eastAsia"/>
                <w:color w:val="auto"/>
              </w:rPr>
            </w:pPr>
            <w:r>
              <w:rPr>
                <w:rFonts w:hint="eastAsia"/>
                <w:color w:val="auto"/>
              </w:rPr>
              <w:t>04</w:t>
            </w:r>
          </w:p>
        </w:tc>
        <w:tc>
          <w:tcPr>
            <w:tcW w:w="225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低压开关柜</w:t>
            </w:r>
          </w:p>
        </w:tc>
        <w:tc>
          <w:tcPr>
            <w:tcW w:w="336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GC</w:t>
            </w:r>
            <w:r>
              <w:rPr>
                <w:color w:val="auto"/>
              </w:rPr>
              <w:t>K</w:t>
            </w:r>
          </w:p>
        </w:tc>
        <w:tc>
          <w:tcPr>
            <w:tcW w:w="763" w:type="dxa"/>
            <w:tcBorders>
              <w:top w:val="single" w:color="auto" w:sz="6" w:space="0"/>
              <w:left w:val="nil"/>
              <w:bottom w:val="single" w:color="auto" w:sz="6" w:space="0"/>
              <w:right w:val="single" w:color="auto" w:sz="6" w:space="0"/>
            </w:tcBorders>
            <w:noWrap w:val="0"/>
            <w:vAlign w:val="center"/>
          </w:tcPr>
          <w:p>
            <w:pPr>
              <w:pStyle w:val="17"/>
              <w:bidi w:val="0"/>
              <w:rPr>
                <w:rFonts w:hint="default"/>
                <w:color w:val="auto"/>
                <w:lang w:val="en-US" w:eastAsia="zh-CN"/>
              </w:rPr>
            </w:pPr>
            <w:r>
              <w:rPr>
                <w:rFonts w:hint="eastAsia"/>
                <w:color w:val="auto"/>
                <w:lang w:val="en-US" w:eastAsia="zh-CN"/>
              </w:rPr>
              <w:t>25</w:t>
            </w:r>
          </w:p>
        </w:tc>
        <w:tc>
          <w:tcPr>
            <w:tcW w:w="638"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台</w:t>
            </w:r>
          </w:p>
        </w:tc>
        <w:tc>
          <w:tcPr>
            <w:tcW w:w="1541" w:type="dxa"/>
            <w:tcBorders>
              <w:top w:val="single" w:color="auto" w:sz="6" w:space="0"/>
              <w:left w:val="nil"/>
              <w:bottom w:val="single" w:color="auto" w:sz="6" w:space="0"/>
              <w:right w:val="single" w:color="auto" w:sz="18" w:space="0"/>
            </w:tcBorders>
            <w:noWrap w:val="0"/>
            <w:vAlign w:val="center"/>
          </w:tcPr>
          <w:p>
            <w:pPr>
              <w:pStyle w:val="17"/>
              <w:bidi w:val="0"/>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jc w:val="center"/>
        </w:trPr>
        <w:tc>
          <w:tcPr>
            <w:tcW w:w="1076" w:type="dxa"/>
            <w:tcBorders>
              <w:top w:val="single" w:color="auto" w:sz="6" w:space="0"/>
              <w:left w:val="single" w:color="auto" w:sz="18" w:space="0"/>
              <w:bottom w:val="single" w:color="auto" w:sz="6" w:space="0"/>
              <w:right w:val="single" w:color="auto" w:sz="6" w:space="0"/>
            </w:tcBorders>
            <w:noWrap w:val="0"/>
            <w:vAlign w:val="center"/>
          </w:tcPr>
          <w:p>
            <w:pPr>
              <w:pStyle w:val="17"/>
              <w:bidi w:val="0"/>
              <w:rPr>
                <w:rFonts w:hint="eastAsia"/>
                <w:color w:val="auto"/>
              </w:rPr>
            </w:pPr>
            <w:r>
              <w:rPr>
                <w:rFonts w:hint="eastAsia"/>
                <w:color w:val="auto"/>
              </w:rPr>
              <w:t>05</w:t>
            </w:r>
          </w:p>
        </w:tc>
        <w:tc>
          <w:tcPr>
            <w:tcW w:w="225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低压补偿柜</w:t>
            </w:r>
          </w:p>
        </w:tc>
        <w:tc>
          <w:tcPr>
            <w:tcW w:w="336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ELECON-HPD2</w:t>
            </w:r>
            <w:r>
              <w:rPr>
                <w:color w:val="auto"/>
              </w:rPr>
              <w:t>5</w:t>
            </w:r>
            <w:r>
              <w:rPr>
                <w:rFonts w:hint="eastAsia"/>
                <w:color w:val="auto"/>
              </w:rPr>
              <w:t>0Q</w:t>
            </w:r>
          </w:p>
        </w:tc>
        <w:tc>
          <w:tcPr>
            <w:tcW w:w="763"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lang w:eastAsia="zh-CN"/>
              </w:rPr>
            </w:pPr>
            <w:r>
              <w:rPr>
                <w:rFonts w:hint="eastAsia"/>
                <w:color w:val="auto"/>
                <w:lang w:val="en-US" w:eastAsia="zh-CN"/>
              </w:rPr>
              <w:t>6</w:t>
            </w:r>
          </w:p>
        </w:tc>
        <w:tc>
          <w:tcPr>
            <w:tcW w:w="638"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台</w:t>
            </w:r>
          </w:p>
        </w:tc>
        <w:tc>
          <w:tcPr>
            <w:tcW w:w="1541" w:type="dxa"/>
            <w:tcBorders>
              <w:top w:val="single" w:color="auto" w:sz="6" w:space="0"/>
              <w:left w:val="nil"/>
              <w:bottom w:val="single" w:color="auto" w:sz="6" w:space="0"/>
              <w:right w:val="single" w:color="auto" w:sz="18" w:space="0"/>
            </w:tcBorders>
            <w:noWrap w:val="0"/>
            <w:vAlign w:val="center"/>
          </w:tcPr>
          <w:p>
            <w:pPr>
              <w:pStyle w:val="17"/>
              <w:bidi w:val="0"/>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jc w:val="center"/>
        </w:trPr>
        <w:tc>
          <w:tcPr>
            <w:tcW w:w="1076" w:type="dxa"/>
            <w:tcBorders>
              <w:top w:val="single" w:color="auto" w:sz="6" w:space="0"/>
              <w:left w:val="single" w:color="auto" w:sz="18" w:space="0"/>
              <w:bottom w:val="single" w:color="auto" w:sz="6" w:space="0"/>
              <w:right w:val="single" w:color="auto" w:sz="6" w:space="0"/>
            </w:tcBorders>
            <w:noWrap w:val="0"/>
            <w:vAlign w:val="center"/>
          </w:tcPr>
          <w:p>
            <w:pPr>
              <w:pStyle w:val="17"/>
              <w:bidi w:val="0"/>
              <w:rPr>
                <w:rFonts w:hint="eastAsia"/>
                <w:color w:val="auto"/>
              </w:rPr>
            </w:pPr>
            <w:r>
              <w:rPr>
                <w:rFonts w:hint="eastAsia"/>
                <w:color w:val="auto"/>
              </w:rPr>
              <w:t>06</w:t>
            </w:r>
          </w:p>
        </w:tc>
        <w:tc>
          <w:tcPr>
            <w:tcW w:w="225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干式电力变压器</w:t>
            </w:r>
          </w:p>
        </w:tc>
        <w:tc>
          <w:tcPr>
            <w:tcW w:w="336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SCB13-</w:t>
            </w:r>
            <w:r>
              <w:rPr>
                <w:rFonts w:hint="eastAsia"/>
                <w:color w:val="auto"/>
                <w:lang w:val="en-US" w:eastAsia="zh-CN"/>
              </w:rPr>
              <w:t>63</w:t>
            </w:r>
            <w:r>
              <w:rPr>
                <w:rFonts w:hint="eastAsia"/>
                <w:color w:val="auto"/>
              </w:rPr>
              <w:t>0KVA/10/0.4</w:t>
            </w:r>
          </w:p>
        </w:tc>
        <w:tc>
          <w:tcPr>
            <w:tcW w:w="763"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lang w:eastAsia="zh-CN"/>
              </w:rPr>
            </w:pPr>
            <w:r>
              <w:rPr>
                <w:rFonts w:hint="eastAsia"/>
                <w:color w:val="auto"/>
                <w:lang w:val="en-US" w:eastAsia="zh-CN"/>
              </w:rPr>
              <w:t>1</w:t>
            </w:r>
          </w:p>
        </w:tc>
        <w:tc>
          <w:tcPr>
            <w:tcW w:w="638"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台</w:t>
            </w:r>
          </w:p>
        </w:tc>
        <w:tc>
          <w:tcPr>
            <w:tcW w:w="1541" w:type="dxa"/>
            <w:tcBorders>
              <w:top w:val="single" w:color="auto" w:sz="6" w:space="0"/>
              <w:left w:val="nil"/>
              <w:bottom w:val="single" w:color="auto" w:sz="6" w:space="0"/>
              <w:right w:val="single" w:color="auto" w:sz="18" w:space="0"/>
            </w:tcBorders>
            <w:noWrap w:val="0"/>
            <w:vAlign w:val="center"/>
          </w:tcPr>
          <w:p>
            <w:pPr>
              <w:pStyle w:val="17"/>
              <w:bidi w:val="0"/>
              <w:rPr>
                <w:rFonts w:hint="eastAsia"/>
                <w:color w:val="auto"/>
              </w:rPr>
            </w:pPr>
            <w:r>
              <w:rPr>
                <w:rFonts w:hint="eastAsia"/>
                <w:color w:val="auto"/>
              </w:rPr>
              <w:t>H级绝缘</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jc w:val="center"/>
        </w:trPr>
        <w:tc>
          <w:tcPr>
            <w:tcW w:w="1076" w:type="dxa"/>
            <w:tcBorders>
              <w:top w:val="single" w:color="auto" w:sz="6" w:space="0"/>
              <w:left w:val="single" w:color="auto" w:sz="18" w:space="0"/>
              <w:bottom w:val="single" w:color="auto" w:sz="6" w:space="0"/>
              <w:right w:val="single" w:color="auto" w:sz="6" w:space="0"/>
            </w:tcBorders>
            <w:noWrap w:val="0"/>
            <w:vAlign w:val="center"/>
          </w:tcPr>
          <w:p>
            <w:pPr>
              <w:pStyle w:val="17"/>
              <w:bidi w:val="0"/>
              <w:rPr>
                <w:rFonts w:hint="eastAsia"/>
                <w:color w:val="auto"/>
              </w:rPr>
            </w:pPr>
            <w:r>
              <w:rPr>
                <w:rFonts w:hint="eastAsia"/>
                <w:color w:val="auto"/>
              </w:rPr>
              <w:t>0</w:t>
            </w:r>
            <w:r>
              <w:rPr>
                <w:color w:val="auto"/>
              </w:rPr>
              <w:t>7</w:t>
            </w:r>
          </w:p>
        </w:tc>
        <w:tc>
          <w:tcPr>
            <w:tcW w:w="225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干式电力变压器</w:t>
            </w:r>
          </w:p>
        </w:tc>
        <w:tc>
          <w:tcPr>
            <w:tcW w:w="336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SCB13-</w:t>
            </w:r>
            <w:r>
              <w:rPr>
                <w:color w:val="auto"/>
              </w:rPr>
              <w:t>8</w:t>
            </w:r>
            <w:r>
              <w:rPr>
                <w:rFonts w:hint="eastAsia"/>
                <w:color w:val="auto"/>
              </w:rPr>
              <w:t>00KVA/10/0.4</w:t>
            </w:r>
          </w:p>
        </w:tc>
        <w:tc>
          <w:tcPr>
            <w:tcW w:w="763"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lang w:eastAsia="zh-CN"/>
              </w:rPr>
            </w:pPr>
            <w:r>
              <w:rPr>
                <w:rFonts w:hint="eastAsia"/>
                <w:color w:val="auto"/>
                <w:lang w:val="en-US" w:eastAsia="zh-CN"/>
              </w:rPr>
              <w:t>4</w:t>
            </w:r>
          </w:p>
        </w:tc>
        <w:tc>
          <w:tcPr>
            <w:tcW w:w="638"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台</w:t>
            </w:r>
          </w:p>
        </w:tc>
        <w:tc>
          <w:tcPr>
            <w:tcW w:w="1541" w:type="dxa"/>
            <w:tcBorders>
              <w:top w:val="single" w:color="auto" w:sz="6" w:space="0"/>
              <w:left w:val="nil"/>
              <w:bottom w:val="single" w:color="auto" w:sz="6" w:space="0"/>
              <w:right w:val="single" w:color="auto" w:sz="18" w:space="0"/>
            </w:tcBorders>
            <w:noWrap w:val="0"/>
            <w:vAlign w:val="center"/>
          </w:tcPr>
          <w:p>
            <w:pPr>
              <w:pStyle w:val="17"/>
              <w:bidi w:val="0"/>
              <w:rPr>
                <w:rFonts w:hint="eastAsia"/>
                <w:color w:val="auto"/>
              </w:rPr>
            </w:pPr>
            <w:r>
              <w:rPr>
                <w:rFonts w:hint="eastAsia"/>
                <w:color w:val="auto"/>
              </w:rPr>
              <w:t>H级绝缘</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jc w:val="center"/>
        </w:trPr>
        <w:tc>
          <w:tcPr>
            <w:tcW w:w="1076" w:type="dxa"/>
            <w:tcBorders>
              <w:top w:val="single" w:color="auto" w:sz="6" w:space="0"/>
              <w:left w:val="single" w:color="auto" w:sz="18" w:space="0"/>
              <w:bottom w:val="single" w:color="auto" w:sz="6" w:space="0"/>
              <w:right w:val="single" w:color="auto" w:sz="6" w:space="0"/>
            </w:tcBorders>
            <w:noWrap w:val="0"/>
            <w:vAlign w:val="center"/>
          </w:tcPr>
          <w:p>
            <w:pPr>
              <w:pStyle w:val="17"/>
              <w:bidi w:val="0"/>
              <w:rPr>
                <w:rFonts w:hint="eastAsia"/>
                <w:color w:val="auto"/>
              </w:rPr>
            </w:pPr>
            <w:r>
              <w:rPr>
                <w:rFonts w:hint="eastAsia"/>
                <w:color w:val="auto"/>
              </w:rPr>
              <w:t>0</w:t>
            </w:r>
            <w:r>
              <w:rPr>
                <w:color w:val="auto"/>
              </w:rPr>
              <w:t>8</w:t>
            </w:r>
          </w:p>
        </w:tc>
        <w:tc>
          <w:tcPr>
            <w:tcW w:w="225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双电源切换箱</w:t>
            </w:r>
          </w:p>
        </w:tc>
        <w:tc>
          <w:tcPr>
            <w:tcW w:w="336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p>
        </w:tc>
        <w:tc>
          <w:tcPr>
            <w:tcW w:w="763"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color w:val="auto"/>
              </w:rPr>
              <w:t>5</w:t>
            </w:r>
          </w:p>
        </w:tc>
        <w:tc>
          <w:tcPr>
            <w:tcW w:w="638"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台</w:t>
            </w:r>
          </w:p>
        </w:tc>
        <w:tc>
          <w:tcPr>
            <w:tcW w:w="1541" w:type="dxa"/>
            <w:tcBorders>
              <w:top w:val="single" w:color="auto" w:sz="6" w:space="0"/>
              <w:left w:val="nil"/>
              <w:bottom w:val="single" w:color="auto" w:sz="6" w:space="0"/>
              <w:right w:val="single" w:color="auto" w:sz="18" w:space="0"/>
            </w:tcBorders>
            <w:noWrap w:val="0"/>
            <w:vAlign w:val="center"/>
          </w:tcPr>
          <w:p>
            <w:pPr>
              <w:pStyle w:val="17"/>
              <w:bidi w:val="0"/>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jc w:val="center"/>
        </w:trPr>
        <w:tc>
          <w:tcPr>
            <w:tcW w:w="1076" w:type="dxa"/>
            <w:tcBorders>
              <w:top w:val="single" w:color="auto" w:sz="6" w:space="0"/>
              <w:left w:val="single" w:color="auto" w:sz="18" w:space="0"/>
              <w:bottom w:val="single" w:color="auto" w:sz="6" w:space="0"/>
              <w:right w:val="single" w:color="auto" w:sz="6" w:space="0"/>
            </w:tcBorders>
            <w:noWrap w:val="0"/>
            <w:vAlign w:val="center"/>
          </w:tcPr>
          <w:p>
            <w:pPr>
              <w:pStyle w:val="17"/>
              <w:bidi w:val="0"/>
              <w:rPr>
                <w:rFonts w:hint="eastAsia"/>
                <w:color w:val="auto"/>
              </w:rPr>
            </w:pPr>
            <w:r>
              <w:rPr>
                <w:rFonts w:hint="eastAsia"/>
                <w:color w:val="auto"/>
              </w:rPr>
              <w:t>0</w:t>
            </w:r>
            <w:r>
              <w:rPr>
                <w:color w:val="auto"/>
              </w:rPr>
              <w:t>9</w:t>
            </w:r>
          </w:p>
        </w:tc>
        <w:tc>
          <w:tcPr>
            <w:tcW w:w="225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电力配电箱</w:t>
            </w:r>
          </w:p>
        </w:tc>
        <w:tc>
          <w:tcPr>
            <w:tcW w:w="336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p>
        </w:tc>
        <w:tc>
          <w:tcPr>
            <w:tcW w:w="763" w:type="dxa"/>
            <w:tcBorders>
              <w:top w:val="single" w:color="auto" w:sz="6" w:space="0"/>
              <w:left w:val="nil"/>
              <w:bottom w:val="single" w:color="auto" w:sz="6" w:space="0"/>
              <w:right w:val="single" w:color="auto" w:sz="6" w:space="0"/>
            </w:tcBorders>
            <w:noWrap w:val="0"/>
            <w:vAlign w:val="center"/>
          </w:tcPr>
          <w:p>
            <w:pPr>
              <w:pStyle w:val="17"/>
              <w:bidi w:val="0"/>
              <w:rPr>
                <w:rFonts w:hint="default"/>
                <w:color w:val="auto"/>
                <w:lang w:val="en-US" w:eastAsia="zh-CN"/>
              </w:rPr>
            </w:pPr>
            <w:r>
              <w:rPr>
                <w:rFonts w:hint="eastAsia"/>
                <w:color w:val="auto"/>
                <w:lang w:val="en-US" w:eastAsia="zh-CN"/>
              </w:rPr>
              <w:t>54</w:t>
            </w:r>
          </w:p>
        </w:tc>
        <w:tc>
          <w:tcPr>
            <w:tcW w:w="638"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台</w:t>
            </w:r>
          </w:p>
        </w:tc>
        <w:tc>
          <w:tcPr>
            <w:tcW w:w="1541" w:type="dxa"/>
            <w:tcBorders>
              <w:top w:val="single" w:color="auto" w:sz="6" w:space="0"/>
              <w:left w:val="nil"/>
              <w:bottom w:val="single" w:color="auto" w:sz="6" w:space="0"/>
              <w:right w:val="single" w:color="auto" w:sz="18" w:space="0"/>
            </w:tcBorders>
            <w:noWrap w:val="0"/>
            <w:vAlign w:val="center"/>
          </w:tcPr>
          <w:p>
            <w:pPr>
              <w:pStyle w:val="17"/>
              <w:bidi w:val="0"/>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jc w:val="center"/>
        </w:trPr>
        <w:tc>
          <w:tcPr>
            <w:tcW w:w="1076" w:type="dxa"/>
            <w:tcBorders>
              <w:top w:val="single" w:color="auto" w:sz="6" w:space="0"/>
              <w:left w:val="single" w:color="auto" w:sz="18" w:space="0"/>
              <w:bottom w:val="single" w:color="auto" w:sz="6" w:space="0"/>
              <w:right w:val="single" w:color="auto" w:sz="6" w:space="0"/>
            </w:tcBorders>
            <w:noWrap w:val="0"/>
            <w:vAlign w:val="center"/>
          </w:tcPr>
          <w:p>
            <w:pPr>
              <w:pStyle w:val="17"/>
              <w:bidi w:val="0"/>
              <w:rPr>
                <w:rFonts w:hint="eastAsia"/>
                <w:color w:val="auto"/>
              </w:rPr>
            </w:pPr>
            <w:r>
              <w:rPr>
                <w:color w:val="auto"/>
              </w:rPr>
              <w:t>10</w:t>
            </w:r>
          </w:p>
        </w:tc>
        <w:tc>
          <w:tcPr>
            <w:tcW w:w="225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照明总配电箱（柜）</w:t>
            </w:r>
          </w:p>
        </w:tc>
        <w:tc>
          <w:tcPr>
            <w:tcW w:w="336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p>
        </w:tc>
        <w:tc>
          <w:tcPr>
            <w:tcW w:w="763"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color w:val="auto"/>
              </w:rPr>
              <w:t>44</w:t>
            </w:r>
          </w:p>
        </w:tc>
        <w:tc>
          <w:tcPr>
            <w:tcW w:w="638"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台</w:t>
            </w:r>
          </w:p>
        </w:tc>
        <w:tc>
          <w:tcPr>
            <w:tcW w:w="1541" w:type="dxa"/>
            <w:tcBorders>
              <w:top w:val="single" w:color="auto" w:sz="6" w:space="0"/>
              <w:left w:val="nil"/>
              <w:bottom w:val="single" w:color="auto" w:sz="6" w:space="0"/>
              <w:right w:val="single" w:color="auto" w:sz="18" w:space="0"/>
            </w:tcBorders>
            <w:noWrap w:val="0"/>
            <w:vAlign w:val="center"/>
          </w:tcPr>
          <w:p>
            <w:pPr>
              <w:pStyle w:val="17"/>
              <w:bidi w:val="0"/>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jc w:val="center"/>
        </w:trPr>
        <w:tc>
          <w:tcPr>
            <w:tcW w:w="1076" w:type="dxa"/>
            <w:tcBorders>
              <w:top w:val="single" w:color="auto" w:sz="6" w:space="0"/>
              <w:left w:val="single" w:color="auto" w:sz="18" w:space="0"/>
              <w:bottom w:val="single" w:color="auto" w:sz="6" w:space="0"/>
              <w:right w:val="single" w:color="auto" w:sz="6" w:space="0"/>
            </w:tcBorders>
            <w:noWrap w:val="0"/>
            <w:vAlign w:val="center"/>
          </w:tcPr>
          <w:p>
            <w:pPr>
              <w:pStyle w:val="17"/>
              <w:bidi w:val="0"/>
              <w:rPr>
                <w:rFonts w:hint="eastAsia"/>
                <w:color w:val="auto"/>
              </w:rPr>
            </w:pPr>
            <w:r>
              <w:rPr>
                <w:rFonts w:hint="eastAsia"/>
                <w:color w:val="auto"/>
              </w:rPr>
              <w:t>1</w:t>
            </w:r>
            <w:r>
              <w:rPr>
                <w:color w:val="auto"/>
              </w:rPr>
              <w:t>1</w:t>
            </w:r>
          </w:p>
        </w:tc>
        <w:tc>
          <w:tcPr>
            <w:tcW w:w="225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普通照明分箱</w:t>
            </w:r>
          </w:p>
        </w:tc>
        <w:tc>
          <w:tcPr>
            <w:tcW w:w="336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p>
        </w:tc>
        <w:tc>
          <w:tcPr>
            <w:tcW w:w="763"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color w:val="auto"/>
              </w:rPr>
              <w:t>300</w:t>
            </w:r>
          </w:p>
        </w:tc>
        <w:tc>
          <w:tcPr>
            <w:tcW w:w="638"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台</w:t>
            </w:r>
          </w:p>
        </w:tc>
        <w:tc>
          <w:tcPr>
            <w:tcW w:w="1541" w:type="dxa"/>
            <w:tcBorders>
              <w:top w:val="single" w:color="auto" w:sz="6" w:space="0"/>
              <w:left w:val="nil"/>
              <w:bottom w:val="single" w:color="auto" w:sz="6" w:space="0"/>
              <w:right w:val="single" w:color="auto" w:sz="18" w:space="0"/>
            </w:tcBorders>
            <w:noWrap w:val="0"/>
            <w:vAlign w:val="center"/>
          </w:tcPr>
          <w:p>
            <w:pPr>
              <w:pStyle w:val="17"/>
              <w:bidi w:val="0"/>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jc w:val="center"/>
        </w:trPr>
        <w:tc>
          <w:tcPr>
            <w:tcW w:w="1076" w:type="dxa"/>
            <w:tcBorders>
              <w:top w:val="single" w:color="auto" w:sz="6" w:space="0"/>
              <w:left w:val="single" w:color="auto" w:sz="18" w:space="0"/>
              <w:bottom w:val="single" w:color="auto" w:sz="6" w:space="0"/>
              <w:right w:val="single" w:color="auto" w:sz="6" w:space="0"/>
            </w:tcBorders>
            <w:noWrap w:val="0"/>
            <w:vAlign w:val="center"/>
          </w:tcPr>
          <w:p>
            <w:pPr>
              <w:pStyle w:val="17"/>
              <w:bidi w:val="0"/>
              <w:rPr>
                <w:rFonts w:hint="eastAsia"/>
                <w:color w:val="auto"/>
              </w:rPr>
            </w:pPr>
            <w:r>
              <w:rPr>
                <w:rFonts w:hint="eastAsia"/>
                <w:color w:val="auto"/>
              </w:rPr>
              <w:t>1</w:t>
            </w:r>
            <w:r>
              <w:rPr>
                <w:color w:val="auto"/>
              </w:rPr>
              <w:t>2</w:t>
            </w:r>
          </w:p>
        </w:tc>
        <w:tc>
          <w:tcPr>
            <w:tcW w:w="225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应急照明</w:t>
            </w:r>
            <w:r>
              <w:rPr>
                <w:color w:val="auto"/>
              </w:rPr>
              <w:t>集中电源</w:t>
            </w:r>
          </w:p>
        </w:tc>
        <w:tc>
          <w:tcPr>
            <w:tcW w:w="336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p>
        </w:tc>
        <w:tc>
          <w:tcPr>
            <w:tcW w:w="763" w:type="dxa"/>
            <w:tcBorders>
              <w:top w:val="single" w:color="auto" w:sz="6" w:space="0"/>
              <w:left w:val="nil"/>
              <w:bottom w:val="single" w:color="auto" w:sz="6" w:space="0"/>
              <w:right w:val="single" w:color="auto" w:sz="6" w:space="0"/>
            </w:tcBorders>
            <w:noWrap w:val="0"/>
            <w:vAlign w:val="center"/>
          </w:tcPr>
          <w:p>
            <w:pPr>
              <w:pStyle w:val="17"/>
              <w:bidi w:val="0"/>
              <w:rPr>
                <w:rFonts w:hint="default"/>
                <w:color w:val="auto"/>
                <w:lang w:val="en-US" w:eastAsia="zh-CN"/>
              </w:rPr>
            </w:pPr>
            <w:r>
              <w:rPr>
                <w:rFonts w:hint="eastAsia"/>
                <w:color w:val="auto"/>
                <w:lang w:val="en-US" w:eastAsia="zh-CN"/>
              </w:rPr>
              <w:t>10</w:t>
            </w:r>
          </w:p>
        </w:tc>
        <w:tc>
          <w:tcPr>
            <w:tcW w:w="638"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台</w:t>
            </w:r>
          </w:p>
        </w:tc>
        <w:tc>
          <w:tcPr>
            <w:tcW w:w="1541" w:type="dxa"/>
            <w:tcBorders>
              <w:top w:val="single" w:color="auto" w:sz="6" w:space="0"/>
              <w:left w:val="nil"/>
              <w:bottom w:val="single" w:color="auto" w:sz="6" w:space="0"/>
              <w:right w:val="single" w:color="auto" w:sz="18" w:space="0"/>
            </w:tcBorders>
            <w:noWrap w:val="0"/>
            <w:vAlign w:val="center"/>
          </w:tcPr>
          <w:p>
            <w:pPr>
              <w:pStyle w:val="17"/>
              <w:bidi w:val="0"/>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jc w:val="center"/>
        </w:trPr>
        <w:tc>
          <w:tcPr>
            <w:tcW w:w="1076" w:type="dxa"/>
            <w:tcBorders>
              <w:top w:val="single" w:color="auto" w:sz="6" w:space="0"/>
              <w:left w:val="single" w:color="auto" w:sz="18" w:space="0"/>
              <w:bottom w:val="single" w:color="auto" w:sz="6" w:space="0"/>
              <w:right w:val="single" w:color="auto" w:sz="6" w:space="0"/>
            </w:tcBorders>
            <w:noWrap w:val="0"/>
            <w:vAlign w:val="center"/>
          </w:tcPr>
          <w:p>
            <w:pPr>
              <w:pStyle w:val="17"/>
              <w:bidi w:val="0"/>
              <w:rPr>
                <w:rFonts w:hint="eastAsia"/>
                <w:color w:val="auto"/>
              </w:rPr>
            </w:pPr>
            <w:r>
              <w:rPr>
                <w:rFonts w:hint="eastAsia"/>
                <w:color w:val="auto"/>
              </w:rPr>
              <w:t>1</w:t>
            </w:r>
            <w:r>
              <w:rPr>
                <w:color w:val="auto"/>
              </w:rPr>
              <w:t>3</w:t>
            </w:r>
          </w:p>
        </w:tc>
        <w:tc>
          <w:tcPr>
            <w:tcW w:w="225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充电桩</w:t>
            </w:r>
          </w:p>
        </w:tc>
        <w:tc>
          <w:tcPr>
            <w:tcW w:w="3365"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7</w:t>
            </w:r>
            <w:r>
              <w:rPr>
                <w:color w:val="auto"/>
              </w:rPr>
              <w:t>kW</w:t>
            </w:r>
            <w:r>
              <w:rPr>
                <w:rFonts w:hint="eastAsia"/>
                <w:color w:val="auto"/>
              </w:rPr>
              <w:t>，2</w:t>
            </w:r>
            <w:r>
              <w:rPr>
                <w:color w:val="auto"/>
              </w:rPr>
              <w:t>20V</w:t>
            </w:r>
          </w:p>
        </w:tc>
        <w:tc>
          <w:tcPr>
            <w:tcW w:w="763" w:type="dxa"/>
            <w:tcBorders>
              <w:top w:val="single" w:color="auto" w:sz="6" w:space="0"/>
              <w:left w:val="nil"/>
              <w:bottom w:val="single" w:color="auto" w:sz="6" w:space="0"/>
              <w:right w:val="single" w:color="auto" w:sz="6" w:space="0"/>
            </w:tcBorders>
            <w:noWrap w:val="0"/>
            <w:vAlign w:val="center"/>
          </w:tcPr>
          <w:p>
            <w:pPr>
              <w:pStyle w:val="17"/>
              <w:bidi w:val="0"/>
              <w:rPr>
                <w:rFonts w:hint="default"/>
                <w:color w:val="auto"/>
                <w:lang w:val="en-US" w:eastAsia="zh-CN"/>
              </w:rPr>
            </w:pPr>
            <w:r>
              <w:rPr>
                <w:rFonts w:hint="eastAsia"/>
                <w:color w:val="auto"/>
                <w:lang w:val="en-US" w:eastAsia="zh-CN"/>
              </w:rPr>
              <w:t>43</w:t>
            </w:r>
          </w:p>
        </w:tc>
        <w:tc>
          <w:tcPr>
            <w:tcW w:w="638" w:type="dxa"/>
            <w:tcBorders>
              <w:top w:val="single" w:color="auto" w:sz="6" w:space="0"/>
              <w:left w:val="nil"/>
              <w:bottom w:val="single" w:color="auto" w:sz="6" w:space="0"/>
              <w:right w:val="single" w:color="auto" w:sz="6" w:space="0"/>
            </w:tcBorders>
            <w:noWrap w:val="0"/>
            <w:vAlign w:val="center"/>
          </w:tcPr>
          <w:p>
            <w:pPr>
              <w:pStyle w:val="17"/>
              <w:bidi w:val="0"/>
              <w:rPr>
                <w:rFonts w:hint="eastAsia"/>
                <w:color w:val="auto"/>
              </w:rPr>
            </w:pPr>
            <w:r>
              <w:rPr>
                <w:rFonts w:hint="eastAsia"/>
                <w:color w:val="auto"/>
              </w:rPr>
              <w:t>台</w:t>
            </w:r>
          </w:p>
        </w:tc>
        <w:tc>
          <w:tcPr>
            <w:tcW w:w="1541" w:type="dxa"/>
            <w:tcBorders>
              <w:top w:val="single" w:color="auto" w:sz="6" w:space="0"/>
              <w:left w:val="nil"/>
              <w:bottom w:val="single" w:color="auto" w:sz="6" w:space="0"/>
              <w:right w:val="single" w:color="auto" w:sz="18" w:space="0"/>
            </w:tcBorders>
            <w:noWrap w:val="0"/>
            <w:vAlign w:val="center"/>
          </w:tcPr>
          <w:p>
            <w:pPr>
              <w:pStyle w:val="17"/>
              <w:bidi w:val="0"/>
              <w:rPr>
                <w:rFonts w:hint="eastAsia"/>
                <w:color w:val="auto"/>
              </w:rPr>
            </w:pPr>
          </w:p>
        </w:tc>
      </w:tr>
    </w:tbl>
    <w:p>
      <w:pPr>
        <w:pStyle w:val="2"/>
        <w:bidi w:val="0"/>
        <w:rPr>
          <w:rFonts w:hint="default"/>
          <w:color w:val="auto"/>
          <w:highlight w:val="none"/>
          <w:lang w:val="en-US" w:eastAsia="zh-CN"/>
        </w:rPr>
      </w:pPr>
      <w:r>
        <w:rPr>
          <w:rStyle w:val="21"/>
          <w:rFonts w:hint="eastAsia"/>
          <w:b/>
          <w:color w:val="auto"/>
          <w:highlight w:val="none"/>
          <w:lang w:val="en-US" w:eastAsia="zh-CN"/>
        </w:rPr>
        <w:br w:type="column"/>
      </w:r>
      <w:r>
        <w:rPr>
          <w:rStyle w:val="21"/>
          <w:rFonts w:hint="eastAsia"/>
          <w:b/>
          <w:color w:val="auto"/>
          <w:highlight w:val="none"/>
          <w:lang w:val="en-US" w:eastAsia="zh-CN"/>
        </w:rPr>
        <w:t>智能化设计说明</w:t>
      </w:r>
    </w:p>
    <w:p>
      <w:pPr>
        <w:pStyle w:val="3"/>
        <w:bidi w:val="0"/>
        <w:rPr>
          <w:rFonts w:hint="eastAsia"/>
          <w:color w:val="auto"/>
          <w:lang w:val="en-US" w:eastAsia="zh-CN"/>
        </w:rPr>
      </w:pPr>
      <w:r>
        <w:rPr>
          <w:rFonts w:hint="eastAsia"/>
          <w:color w:val="auto"/>
          <w:lang w:val="en-US" w:eastAsia="zh-CN"/>
        </w:rPr>
        <w:t>设计依据</w:t>
      </w:r>
    </w:p>
    <w:p>
      <w:pPr>
        <w:bidi w:val="0"/>
        <w:rPr>
          <w:color w:val="auto"/>
        </w:rPr>
      </w:pPr>
      <w:r>
        <w:rPr>
          <w:rFonts w:hint="eastAsia"/>
          <w:color w:val="auto"/>
        </w:rPr>
        <w:t>国家现行的相关政策、法规、标准、规范。</w:t>
      </w:r>
    </w:p>
    <w:p>
      <w:pPr>
        <w:bidi w:val="0"/>
        <w:rPr>
          <w:color w:val="auto"/>
        </w:rPr>
      </w:pPr>
      <w:r>
        <w:rPr>
          <w:rFonts w:hint="eastAsia"/>
          <w:color w:val="auto"/>
        </w:rPr>
        <w:t>各专业提供的设计资料；</w:t>
      </w:r>
    </w:p>
    <w:p>
      <w:pPr>
        <w:bidi w:val="0"/>
        <w:rPr>
          <w:color w:val="auto"/>
        </w:rPr>
      </w:pPr>
      <w:r>
        <w:rPr>
          <w:rFonts w:hint="eastAsia"/>
          <w:color w:val="auto"/>
        </w:rPr>
        <w:t>国家现行的主要设计规范及标准：</w:t>
      </w:r>
    </w:p>
    <w:p>
      <w:pPr>
        <w:bidi w:val="0"/>
        <w:rPr>
          <w:rFonts w:hint="eastAsia"/>
          <w:color w:val="auto"/>
        </w:rPr>
      </w:pPr>
      <w:r>
        <w:rPr>
          <w:rFonts w:hint="eastAsia"/>
          <w:color w:val="auto"/>
        </w:rPr>
        <w:t>《民用建筑电气设计标准》GB51348-2019</w:t>
      </w:r>
    </w:p>
    <w:p>
      <w:pPr>
        <w:bidi w:val="0"/>
        <w:rPr>
          <w:rFonts w:hint="eastAsia"/>
          <w:color w:val="auto"/>
        </w:rPr>
      </w:pPr>
      <w:r>
        <w:rPr>
          <w:rFonts w:hint="eastAsia"/>
          <w:color w:val="auto"/>
        </w:rPr>
        <w:t>《综合布线系统工程设计规范》GB50311-2016</w:t>
      </w:r>
    </w:p>
    <w:p>
      <w:pPr>
        <w:bidi w:val="0"/>
        <w:rPr>
          <w:rFonts w:hint="eastAsia"/>
          <w:color w:val="auto"/>
        </w:rPr>
      </w:pPr>
      <w:r>
        <w:rPr>
          <w:rFonts w:hint="eastAsia"/>
          <w:color w:val="auto"/>
        </w:rPr>
        <w:t>《安全防范工程技术标准》GB50348-2018</w:t>
      </w:r>
    </w:p>
    <w:p>
      <w:pPr>
        <w:bidi w:val="0"/>
        <w:rPr>
          <w:rFonts w:hint="eastAsia"/>
          <w:color w:val="auto"/>
        </w:rPr>
      </w:pPr>
      <w:r>
        <w:rPr>
          <w:rFonts w:hint="eastAsia"/>
          <w:color w:val="auto"/>
        </w:rPr>
        <w:t>《民用闭路监视电视系统工程技术规范》GB50198-2011</w:t>
      </w:r>
    </w:p>
    <w:p>
      <w:pPr>
        <w:bidi w:val="0"/>
        <w:rPr>
          <w:rFonts w:hint="eastAsia"/>
          <w:color w:val="auto"/>
        </w:rPr>
      </w:pPr>
      <w:r>
        <w:rPr>
          <w:rFonts w:hint="eastAsia"/>
          <w:color w:val="auto"/>
        </w:rPr>
        <w:t>《出入口控制系统工程设计规范》GB50396-2007</w:t>
      </w:r>
    </w:p>
    <w:p>
      <w:pPr>
        <w:bidi w:val="0"/>
        <w:rPr>
          <w:rFonts w:hint="eastAsia"/>
          <w:color w:val="auto"/>
        </w:rPr>
      </w:pPr>
      <w:r>
        <w:rPr>
          <w:rFonts w:hint="eastAsia"/>
          <w:color w:val="auto"/>
        </w:rPr>
        <w:t>《视频显示系统工程技术规范》GB50464-2008</w:t>
      </w:r>
    </w:p>
    <w:p>
      <w:pPr>
        <w:bidi w:val="0"/>
        <w:rPr>
          <w:rFonts w:hint="eastAsia"/>
          <w:color w:val="auto"/>
        </w:rPr>
      </w:pPr>
      <w:r>
        <w:rPr>
          <w:rFonts w:hint="eastAsia"/>
          <w:color w:val="auto"/>
        </w:rPr>
        <w:t>《安全防范工程通用规范》GB55029-2022</w:t>
      </w:r>
    </w:p>
    <w:p>
      <w:pPr>
        <w:bidi w:val="0"/>
        <w:rPr>
          <w:rFonts w:hint="eastAsia"/>
          <w:color w:val="auto"/>
        </w:rPr>
      </w:pPr>
      <w:r>
        <w:rPr>
          <w:rFonts w:hint="eastAsia"/>
          <w:color w:val="auto"/>
        </w:rPr>
        <w:t>《建筑电气与智能化通用规范》GB55024-2022</w:t>
      </w:r>
    </w:p>
    <w:p>
      <w:pPr>
        <w:pStyle w:val="3"/>
        <w:bidi w:val="0"/>
        <w:rPr>
          <w:rFonts w:hint="eastAsia"/>
          <w:color w:val="auto"/>
          <w:lang w:val="en-US" w:eastAsia="zh-CN"/>
        </w:rPr>
      </w:pPr>
      <w:r>
        <w:rPr>
          <w:rFonts w:hint="eastAsia"/>
          <w:color w:val="auto"/>
          <w:lang w:val="en-US" w:eastAsia="zh-CN"/>
        </w:rPr>
        <w:t>智能化系统：</w:t>
      </w:r>
    </w:p>
    <w:p>
      <w:pPr>
        <w:bidi w:val="0"/>
        <w:rPr>
          <w:rFonts w:hint="eastAsia"/>
          <w:color w:val="auto"/>
          <w:lang w:eastAsia="zh-CN"/>
        </w:rPr>
      </w:pPr>
      <w:r>
        <w:rPr>
          <w:rFonts w:hint="eastAsia"/>
          <w:color w:val="auto"/>
          <w:lang w:val="en-US" w:eastAsia="zh-CN"/>
        </w:rPr>
        <w:t>1、</w:t>
      </w:r>
      <w:r>
        <w:rPr>
          <w:rFonts w:hint="eastAsia"/>
          <w:color w:val="auto"/>
        </w:rPr>
        <w:t>网络综合布线系统</w:t>
      </w:r>
    </w:p>
    <w:p>
      <w:pPr>
        <w:bidi w:val="0"/>
        <w:rPr>
          <w:rFonts w:hint="eastAsia"/>
          <w:color w:val="auto"/>
        </w:rPr>
      </w:pPr>
      <w:r>
        <w:rPr>
          <w:rFonts w:hint="eastAsia"/>
          <w:color w:val="auto"/>
        </w:rPr>
        <w:t>2</w:t>
      </w:r>
      <w:r>
        <w:rPr>
          <w:rFonts w:hint="eastAsia"/>
          <w:color w:val="auto"/>
          <w:lang w:eastAsia="zh-CN"/>
        </w:rPr>
        <w:t>、</w:t>
      </w:r>
      <w:r>
        <w:rPr>
          <w:rFonts w:hint="eastAsia"/>
          <w:color w:val="auto"/>
        </w:rPr>
        <w:t>安防监控综合布线系统</w:t>
      </w:r>
    </w:p>
    <w:p>
      <w:pPr>
        <w:bidi w:val="0"/>
        <w:rPr>
          <w:rFonts w:hint="eastAsia"/>
          <w:color w:val="auto"/>
          <w:lang w:eastAsia="zh-CN"/>
        </w:rPr>
      </w:pPr>
      <w:r>
        <w:rPr>
          <w:rFonts w:hint="eastAsia"/>
          <w:color w:val="auto"/>
        </w:rPr>
        <w:t>3</w:t>
      </w:r>
      <w:r>
        <w:rPr>
          <w:rFonts w:hint="eastAsia"/>
          <w:color w:val="auto"/>
          <w:lang w:eastAsia="zh-CN"/>
        </w:rPr>
        <w:t>、</w:t>
      </w:r>
      <w:r>
        <w:rPr>
          <w:rFonts w:hint="eastAsia"/>
          <w:color w:val="auto"/>
        </w:rPr>
        <w:t>电梯五方对讲系统</w:t>
      </w:r>
    </w:p>
    <w:p>
      <w:pPr>
        <w:bidi w:val="0"/>
        <w:rPr>
          <w:rFonts w:hint="eastAsia"/>
          <w:color w:val="auto"/>
          <w:lang w:val="en-US" w:eastAsia="zh-CN"/>
        </w:rPr>
      </w:pPr>
      <w:r>
        <w:rPr>
          <w:rFonts w:hint="eastAsia"/>
          <w:color w:val="auto"/>
          <w:lang w:val="en-US" w:eastAsia="zh-CN"/>
        </w:rPr>
        <w:t>4、信息网络系统</w:t>
      </w:r>
    </w:p>
    <w:p>
      <w:pPr>
        <w:bidi w:val="0"/>
        <w:rPr>
          <w:rFonts w:hint="default"/>
          <w:color w:val="auto"/>
          <w:lang w:val="en-US" w:eastAsia="zh-CN"/>
        </w:rPr>
      </w:pPr>
      <w:r>
        <w:rPr>
          <w:rFonts w:hint="eastAsia"/>
          <w:color w:val="auto"/>
          <w:lang w:val="en-US" w:eastAsia="zh-CN"/>
        </w:rPr>
        <w:t>5、有线电视系统</w:t>
      </w:r>
    </w:p>
    <w:p>
      <w:pPr>
        <w:bidi w:val="0"/>
        <w:rPr>
          <w:rFonts w:hint="default"/>
          <w:color w:val="auto"/>
          <w:lang w:val="en-US" w:eastAsia="zh-CN"/>
        </w:rPr>
      </w:pPr>
      <w:r>
        <w:rPr>
          <w:rFonts w:hint="default"/>
          <w:color w:val="auto"/>
          <w:lang w:val="en-US" w:eastAsia="zh-CN"/>
        </w:rPr>
        <w:t>1</w:t>
      </w:r>
      <w:r>
        <w:rPr>
          <w:rFonts w:hint="eastAsia"/>
          <w:color w:val="auto"/>
          <w:lang w:val="en-US" w:eastAsia="zh-CN"/>
        </w:rPr>
        <w:t>）</w:t>
      </w:r>
      <w:r>
        <w:rPr>
          <w:rFonts w:hint="default"/>
          <w:color w:val="auto"/>
          <w:lang w:val="en-US" w:eastAsia="zh-CN"/>
        </w:rPr>
        <w:t>本工程计算机网络系统包含一套网络：智能网。</w:t>
      </w:r>
    </w:p>
    <w:p>
      <w:pPr>
        <w:bidi w:val="0"/>
        <w:rPr>
          <w:rFonts w:hint="default"/>
          <w:color w:val="auto"/>
          <w:lang w:val="en-US" w:eastAsia="zh-CN"/>
        </w:rPr>
      </w:pPr>
      <w:r>
        <w:rPr>
          <w:rFonts w:hint="eastAsia"/>
          <w:color w:val="auto"/>
          <w:lang w:val="en-US" w:eastAsia="zh-CN"/>
        </w:rPr>
        <w:t>2）</w:t>
      </w:r>
      <w:r>
        <w:rPr>
          <w:rFonts w:hint="default"/>
          <w:color w:val="auto"/>
          <w:lang w:val="en-US" w:eastAsia="zh-CN"/>
        </w:rPr>
        <w:t>智能网包含网络、视频监控管理等业务。</w:t>
      </w:r>
    </w:p>
    <w:p>
      <w:pPr>
        <w:bidi w:val="0"/>
        <w:rPr>
          <w:rFonts w:hint="default"/>
          <w:color w:val="auto"/>
          <w:highlight w:val="red"/>
          <w:lang w:val="en-US" w:eastAsia="zh-CN"/>
        </w:rPr>
      </w:pPr>
      <w:r>
        <w:rPr>
          <w:rFonts w:hint="eastAsia"/>
          <w:color w:val="auto"/>
          <w:lang w:val="en-US" w:eastAsia="zh-CN"/>
        </w:rPr>
        <w:t>3）</w:t>
      </w:r>
      <w:r>
        <w:rPr>
          <w:rFonts w:hint="default"/>
          <w:color w:val="auto"/>
          <w:lang w:val="en-US" w:eastAsia="zh-CN"/>
        </w:rPr>
        <w:t>智能网系统设计采用二层结构，即核心层、接入层；智能网网络核心层交换机设置于</w:t>
      </w:r>
      <w:r>
        <w:rPr>
          <w:rFonts w:hint="eastAsia"/>
          <w:color w:val="auto"/>
          <w:lang w:val="en-US" w:eastAsia="zh-CN"/>
        </w:rPr>
        <w:t>2#栋</w:t>
      </w:r>
      <w:r>
        <w:rPr>
          <w:rFonts w:hint="default"/>
          <w:color w:val="auto"/>
          <w:lang w:val="en-US" w:eastAsia="zh-CN"/>
        </w:rPr>
        <w:t>一层监控</w:t>
      </w:r>
      <w:r>
        <w:rPr>
          <w:rFonts w:hint="eastAsia"/>
          <w:color w:val="auto"/>
          <w:lang w:val="en-US" w:eastAsia="zh-CN"/>
        </w:rPr>
        <w:t>、</w:t>
      </w:r>
      <w:r>
        <w:rPr>
          <w:rFonts w:hint="default"/>
          <w:color w:val="auto"/>
          <w:lang w:val="en-US" w:eastAsia="zh-CN"/>
        </w:rPr>
        <w:t>信息机房，接入层交换机设置于楼层的电井内，接入交换机的数量按实际需要设置。</w:t>
      </w:r>
    </w:p>
    <w:p>
      <w:pPr>
        <w:pStyle w:val="3"/>
        <w:bidi w:val="0"/>
        <w:rPr>
          <w:rFonts w:hint="default"/>
          <w:color w:val="auto"/>
          <w:lang w:val="en-US" w:eastAsia="zh-CN"/>
        </w:rPr>
      </w:pPr>
      <w:r>
        <w:rPr>
          <w:rFonts w:hint="default"/>
          <w:color w:val="auto"/>
          <w:lang w:val="en-US" w:eastAsia="zh-CN"/>
        </w:rPr>
        <w:t>视频监控系统</w:t>
      </w:r>
    </w:p>
    <w:p>
      <w:pPr>
        <w:bidi w:val="0"/>
        <w:rPr>
          <w:rFonts w:hint="default"/>
          <w:color w:val="auto"/>
          <w:lang w:val="en-US" w:eastAsia="zh-CN"/>
        </w:rPr>
      </w:pPr>
      <w:r>
        <w:rPr>
          <w:rFonts w:hint="default"/>
          <w:color w:val="auto"/>
          <w:lang w:val="en-US" w:eastAsia="zh-CN"/>
        </w:rPr>
        <w:t>1、本工程设置一套视频监控系统，视频监控机房设置在</w:t>
      </w:r>
      <w:r>
        <w:rPr>
          <w:rFonts w:hint="eastAsia"/>
          <w:color w:val="auto"/>
          <w:lang w:val="en-US" w:eastAsia="zh-CN"/>
        </w:rPr>
        <w:t>2#栋宿舍楼</w:t>
      </w:r>
      <w:r>
        <w:rPr>
          <w:rFonts w:hint="default"/>
          <w:color w:val="auto"/>
          <w:lang w:val="en-US" w:eastAsia="zh-CN"/>
        </w:rPr>
        <w:t>一层监控室、信息机房。本工程视频监控系统新建一套监控平台。</w:t>
      </w:r>
    </w:p>
    <w:p>
      <w:pPr>
        <w:bidi w:val="0"/>
        <w:rPr>
          <w:rFonts w:hint="default"/>
          <w:color w:val="auto"/>
          <w:lang w:val="en-US" w:eastAsia="zh-CN"/>
        </w:rPr>
      </w:pPr>
      <w:r>
        <w:rPr>
          <w:rFonts w:hint="default"/>
          <w:color w:val="auto"/>
          <w:lang w:val="en-US" w:eastAsia="zh-CN"/>
        </w:rPr>
        <w:t>2、系统采用全网络架构，由前端摄像机、传输线缆、存储服务器以及监视器组成。</w:t>
      </w:r>
    </w:p>
    <w:p>
      <w:pPr>
        <w:bidi w:val="0"/>
        <w:rPr>
          <w:rFonts w:hint="default"/>
          <w:color w:val="auto"/>
          <w:lang w:val="en-US" w:eastAsia="zh-CN"/>
        </w:rPr>
      </w:pPr>
      <w:r>
        <w:rPr>
          <w:rFonts w:hint="default"/>
          <w:color w:val="auto"/>
          <w:lang w:val="en-US" w:eastAsia="zh-CN"/>
        </w:rPr>
        <w:t>3、本工程前端摄像头主要分布在每栋单体入口、车道、室外道路、电梯轿厢等场所，包括半球、枪机、电梯摄像机等。所有摄像机均采用网络型摄像机。</w:t>
      </w:r>
    </w:p>
    <w:p>
      <w:pPr>
        <w:bidi w:val="0"/>
        <w:rPr>
          <w:rFonts w:hint="default"/>
          <w:color w:val="auto"/>
          <w:lang w:val="en-US" w:eastAsia="zh-CN"/>
        </w:rPr>
      </w:pPr>
      <w:r>
        <w:rPr>
          <w:rFonts w:hint="default"/>
          <w:color w:val="auto"/>
          <w:lang w:val="en-US" w:eastAsia="zh-CN"/>
        </w:rPr>
        <w:t>4、网络摄像机视频信号使用全数字传输方式，采用六类线传输，再通过网络将信号传送至监控机房主机。</w:t>
      </w:r>
    </w:p>
    <w:p>
      <w:pPr>
        <w:bidi w:val="0"/>
        <w:rPr>
          <w:rFonts w:hint="default"/>
          <w:color w:val="auto"/>
          <w:lang w:val="en-US" w:eastAsia="zh-CN"/>
        </w:rPr>
      </w:pPr>
      <w:r>
        <w:rPr>
          <w:rFonts w:hint="default"/>
          <w:color w:val="auto"/>
          <w:lang w:val="en-US" w:eastAsia="zh-CN"/>
        </w:rPr>
        <w:t>5、所有摄像机的电源，均由就近市电配电箱提供，。</w:t>
      </w:r>
    </w:p>
    <w:p>
      <w:pPr>
        <w:bidi w:val="0"/>
        <w:rPr>
          <w:rFonts w:hint="default"/>
          <w:color w:val="auto"/>
          <w:lang w:val="en-US" w:eastAsia="zh-CN"/>
        </w:rPr>
      </w:pPr>
      <w:r>
        <w:rPr>
          <w:rFonts w:hint="default"/>
          <w:color w:val="auto"/>
          <w:lang w:val="en-US" w:eastAsia="zh-CN"/>
        </w:rPr>
        <w:t>6、中心主机系统能对所有摄像点进行同时录像。视频监控系统配置存储服务器，能连续地记录摄像机的</w:t>
      </w:r>
    </w:p>
    <w:p>
      <w:pPr>
        <w:bidi w:val="0"/>
        <w:rPr>
          <w:rFonts w:hint="default"/>
          <w:color w:val="auto"/>
          <w:lang w:val="en-US" w:eastAsia="zh-CN"/>
        </w:rPr>
      </w:pPr>
      <w:r>
        <w:rPr>
          <w:rFonts w:hint="default"/>
          <w:color w:val="auto"/>
          <w:lang w:val="en-US" w:eastAsia="zh-CN"/>
        </w:rPr>
        <w:t>数据，以便记录所有监视区的活动情况。系统存储时间为30天，存储及显电梯五方对讲系统</w:t>
      </w:r>
    </w:p>
    <w:p>
      <w:pPr>
        <w:bidi w:val="0"/>
        <w:rPr>
          <w:rFonts w:hint="default"/>
          <w:color w:val="auto"/>
          <w:lang w:val="en-US" w:eastAsia="zh-CN"/>
        </w:rPr>
      </w:pPr>
      <w:r>
        <w:rPr>
          <w:rFonts w:hint="default"/>
          <w:color w:val="auto"/>
          <w:lang w:val="en-US" w:eastAsia="zh-CN"/>
        </w:rPr>
        <w:t>3、本工程设计一套电梯五方对讲系统。电梯五方对讲用于管理单位对电梯的管理，要求在电梯出现故障时，电梯内的乘客可通过对讲向安防中心报警，安防中心在接通前，就能知道其报警来自何处。系统可以实现机房、轿顶、轿厢、底坑、值班室等五处之间的对讲、求助。</w:t>
      </w:r>
    </w:p>
    <w:p>
      <w:pPr>
        <w:bidi w:val="0"/>
        <w:rPr>
          <w:rFonts w:hint="default"/>
          <w:color w:val="auto"/>
          <w:lang w:val="en-US" w:eastAsia="zh-CN"/>
        </w:rPr>
      </w:pPr>
      <w:r>
        <w:rPr>
          <w:rFonts w:hint="default"/>
          <w:color w:val="auto"/>
          <w:lang w:val="en-US" w:eastAsia="zh-CN"/>
        </w:rPr>
        <w:t>1）、系统主要由管理主机、机房分机、轿顶分机、轿厢分机、底坑分机等部分构成。管理主机设置在</w:t>
      </w:r>
      <w:r>
        <w:rPr>
          <w:rFonts w:hint="eastAsia"/>
          <w:color w:val="auto"/>
          <w:lang w:val="en-US" w:eastAsia="zh-CN"/>
        </w:rPr>
        <w:t>2#栋</w:t>
      </w:r>
      <w:r>
        <w:rPr>
          <w:rFonts w:hint="default"/>
          <w:color w:val="auto"/>
          <w:lang w:val="en-US" w:eastAsia="zh-CN"/>
        </w:rPr>
        <w:t>一层监控</w:t>
      </w:r>
      <w:r>
        <w:rPr>
          <w:rFonts w:hint="eastAsia"/>
          <w:color w:val="auto"/>
          <w:lang w:val="en-US" w:eastAsia="zh-CN"/>
        </w:rPr>
        <w:t>、</w:t>
      </w:r>
      <w:r>
        <w:rPr>
          <w:rFonts w:hint="default"/>
          <w:color w:val="auto"/>
          <w:lang w:val="en-US" w:eastAsia="zh-CN"/>
        </w:rPr>
        <w:t>信息机房。</w:t>
      </w:r>
    </w:p>
    <w:p>
      <w:pPr>
        <w:bidi w:val="0"/>
        <w:rPr>
          <w:rFonts w:hint="default"/>
          <w:color w:val="auto"/>
          <w:lang w:val="en-US" w:eastAsia="zh-CN"/>
        </w:rPr>
      </w:pPr>
      <w:r>
        <w:rPr>
          <w:rFonts w:hint="default"/>
          <w:color w:val="auto"/>
          <w:lang w:val="en-US" w:eastAsia="zh-CN"/>
        </w:rPr>
        <w:t>2）、系统通讯采用6芯总线制。总线连接至安防监控室，与管理主机进行通信。</w:t>
      </w:r>
    </w:p>
    <w:p>
      <w:pPr>
        <w:bidi w:val="0"/>
        <w:rPr>
          <w:rFonts w:hint="default"/>
          <w:color w:val="auto"/>
          <w:lang w:val="en-US" w:eastAsia="zh-CN"/>
        </w:rPr>
      </w:pPr>
      <w:r>
        <w:rPr>
          <w:rFonts w:hint="default"/>
          <w:color w:val="auto"/>
          <w:lang w:val="en-US" w:eastAsia="zh-CN"/>
        </w:rPr>
        <w:t>3）、电梯自带机房分机、轿顶分机、轿厢分机和底坑分机设备，在机房分机预留总线通信接口，接入电梯五方对讲系统。</w:t>
      </w:r>
    </w:p>
    <w:p>
      <w:pPr>
        <w:pStyle w:val="3"/>
        <w:bidi w:val="0"/>
        <w:rPr>
          <w:rFonts w:hint="eastAsia"/>
          <w:color w:val="auto"/>
          <w:lang w:val="en-US" w:eastAsia="zh-CN"/>
        </w:rPr>
      </w:pPr>
      <w:r>
        <w:rPr>
          <w:rFonts w:hint="eastAsia"/>
          <w:color w:val="auto"/>
          <w:lang w:val="en-US" w:eastAsia="zh-CN"/>
        </w:rPr>
        <w:t>计算机网络系统</w:t>
      </w:r>
    </w:p>
    <w:p>
      <w:pPr>
        <w:bidi w:val="0"/>
        <w:rPr>
          <w:rFonts w:hint="eastAsia"/>
          <w:color w:val="auto"/>
          <w:lang w:val="en-US" w:eastAsia="zh-CN"/>
        </w:rPr>
      </w:pPr>
      <w:r>
        <w:rPr>
          <w:rFonts w:hint="eastAsia"/>
          <w:color w:val="auto"/>
          <w:lang w:val="en-US" w:eastAsia="zh-CN"/>
        </w:rPr>
        <w:t>1、本工程计算机网络建设为数据网。数据网采用核心+接入层两层架构，通过光缆连接至各楼栋单体弱电井。</w:t>
      </w:r>
    </w:p>
    <w:p>
      <w:pPr>
        <w:bidi w:val="0"/>
        <w:rPr>
          <w:rFonts w:hint="eastAsia"/>
          <w:color w:val="auto"/>
          <w:lang w:val="en-US" w:eastAsia="zh-CN"/>
        </w:rPr>
      </w:pPr>
      <w:r>
        <w:rPr>
          <w:rFonts w:hint="eastAsia"/>
          <w:color w:val="auto"/>
          <w:lang w:val="en-US" w:eastAsia="zh-CN"/>
        </w:rPr>
        <w:t>2、数据网主要功能为：提供办公、无线AP及安防监控摄像头的有线接入。</w:t>
      </w:r>
    </w:p>
    <w:p>
      <w:pPr>
        <w:bidi w:val="0"/>
        <w:rPr>
          <w:rFonts w:hint="eastAsia"/>
          <w:color w:val="auto"/>
          <w:lang w:val="en-US" w:eastAsia="zh-CN"/>
        </w:rPr>
      </w:pPr>
      <w:r>
        <w:rPr>
          <w:rFonts w:hint="eastAsia"/>
          <w:color w:val="auto"/>
          <w:lang w:val="en-US" w:eastAsia="zh-CN"/>
        </w:rPr>
        <w:t>3、数据网的核心与接入交换机均通过单模光纤相连接，配置千兆光模块。</w:t>
      </w:r>
    </w:p>
    <w:p>
      <w:pPr>
        <w:bidi w:val="0"/>
        <w:rPr>
          <w:rFonts w:hint="eastAsia"/>
          <w:color w:val="auto"/>
          <w:highlight w:val="red"/>
          <w:lang w:val="en-US" w:eastAsia="zh-CN"/>
        </w:rPr>
      </w:pPr>
      <w:r>
        <w:rPr>
          <w:rFonts w:hint="eastAsia"/>
          <w:color w:val="auto"/>
          <w:lang w:val="en-US" w:eastAsia="zh-CN"/>
        </w:rPr>
        <w:t>4、在数据网网络出口位置设置防火墙，用于保护内部网络的安全。</w:t>
      </w:r>
    </w:p>
    <w:p>
      <w:pPr>
        <w:pStyle w:val="3"/>
        <w:bidi w:val="0"/>
        <w:rPr>
          <w:rFonts w:hint="eastAsia"/>
          <w:color w:val="auto"/>
          <w:lang w:val="en-US" w:eastAsia="zh-CN"/>
        </w:rPr>
      </w:pPr>
      <w:r>
        <w:rPr>
          <w:rFonts w:hint="eastAsia"/>
          <w:color w:val="auto"/>
          <w:lang w:val="en-US" w:eastAsia="zh-CN"/>
        </w:rPr>
        <w:t>信息网络系统</w:t>
      </w:r>
    </w:p>
    <w:p>
      <w:pPr>
        <w:bidi w:val="0"/>
        <w:rPr>
          <w:rFonts w:hint="eastAsia"/>
          <w:color w:val="auto"/>
          <w:lang w:val="en-US" w:eastAsia="zh-CN"/>
        </w:rPr>
      </w:pPr>
      <w:r>
        <w:rPr>
          <w:rFonts w:hint="eastAsia"/>
          <w:color w:val="auto"/>
          <w:lang w:val="en-US" w:eastAsia="zh-CN"/>
        </w:rPr>
        <w:t>1、本工程信息网络系统采用1套布线系统，设计采用星型的拓扑结构，支持各种形式的网络应用，布线满足支持主干万兆、水平千兆交换到桌面的网络传输要求。</w:t>
      </w:r>
    </w:p>
    <w:p>
      <w:pPr>
        <w:bidi w:val="0"/>
        <w:rPr>
          <w:rFonts w:hint="eastAsia"/>
          <w:color w:val="auto"/>
          <w:lang w:val="en-US" w:eastAsia="zh-CN"/>
        </w:rPr>
      </w:pPr>
      <w:r>
        <w:rPr>
          <w:rFonts w:hint="eastAsia"/>
          <w:color w:val="auto"/>
          <w:lang w:val="en-US" w:eastAsia="zh-CN"/>
        </w:rPr>
        <w:t>2、综合布线设备间设置在宿舍楼一层机房，通过主干光纤连接各子项配线架。在楼层电井设置管理间安装落地式\壁挂式网络机柜，管理各楼层或邻近楼层的信息点和监控点。</w:t>
      </w:r>
    </w:p>
    <w:p>
      <w:pPr>
        <w:bidi w:val="0"/>
        <w:rPr>
          <w:rFonts w:hint="eastAsia"/>
          <w:color w:val="auto"/>
          <w:lang w:val="en-US" w:eastAsia="zh-CN"/>
        </w:rPr>
      </w:pPr>
      <w:r>
        <w:rPr>
          <w:rFonts w:hint="eastAsia"/>
          <w:color w:val="auto"/>
          <w:lang w:val="en-US" w:eastAsia="zh-CN"/>
        </w:rPr>
        <w:t>3、网络垂直干线采用12芯单模光纤。</w:t>
      </w:r>
    </w:p>
    <w:p>
      <w:pPr>
        <w:bidi w:val="0"/>
        <w:rPr>
          <w:rFonts w:hint="eastAsia"/>
          <w:color w:val="auto"/>
          <w:lang w:val="en-US" w:eastAsia="zh-CN"/>
        </w:rPr>
      </w:pPr>
      <w:r>
        <w:rPr>
          <w:rFonts w:hint="eastAsia"/>
          <w:color w:val="auto"/>
          <w:lang w:val="en-US" w:eastAsia="zh-CN"/>
        </w:rPr>
        <w:t>4、水平配线采用六类非屏蔽4对双绞线，布线到楼内每个工作区，水平电缆的长度均不能超过90m。</w:t>
      </w:r>
    </w:p>
    <w:p>
      <w:pPr>
        <w:bidi w:val="0"/>
        <w:rPr>
          <w:rFonts w:hint="eastAsia"/>
          <w:color w:val="auto"/>
          <w:lang w:val="en-US" w:eastAsia="zh-CN"/>
        </w:rPr>
      </w:pPr>
      <w:r>
        <w:rPr>
          <w:rFonts w:hint="eastAsia"/>
          <w:color w:val="auto"/>
          <w:lang w:val="en-US" w:eastAsia="zh-CN"/>
        </w:rPr>
        <w:t>5、本工程在宿舍、餐厅等区域根据面积设置数据点。语音和数据均采用6类模块。</w:t>
      </w:r>
    </w:p>
    <w:p>
      <w:pPr>
        <w:bidi w:val="0"/>
        <w:rPr>
          <w:rFonts w:hint="eastAsia"/>
          <w:color w:val="auto"/>
          <w:lang w:val="en-US" w:eastAsia="zh-CN"/>
        </w:rPr>
      </w:pPr>
      <w:r>
        <w:rPr>
          <w:rFonts w:hint="eastAsia"/>
          <w:color w:val="auto"/>
          <w:lang w:val="en-US" w:eastAsia="zh-CN"/>
        </w:rPr>
        <w:t>6、本工程数据和监控均采用非屏蔽综合布线系统，水平系统选用（六类）UTP电缆穿线槽、JDG管敷设。配线架落地机柜或壁挂机柜明装；竖向桥架应与平面图中水平桥架连接。</w:t>
      </w:r>
    </w:p>
    <w:p>
      <w:pPr>
        <w:bidi w:val="0"/>
        <w:rPr>
          <w:rFonts w:hint="eastAsia"/>
          <w:color w:val="auto"/>
          <w:lang w:val="en-US" w:eastAsia="zh-CN"/>
        </w:rPr>
      </w:pPr>
      <w:r>
        <w:rPr>
          <w:rFonts w:hint="eastAsia"/>
          <w:color w:val="auto"/>
          <w:lang w:val="en-US" w:eastAsia="zh-CN"/>
        </w:rPr>
        <w:t>7、出线插座采用RJ45六类型，底边距地0.3m暗装。</w:t>
      </w:r>
    </w:p>
    <w:p>
      <w:pPr>
        <w:bidi w:val="0"/>
        <w:rPr>
          <w:rFonts w:hint="default"/>
          <w:color w:val="auto"/>
          <w:lang w:val="en-US" w:eastAsia="zh-CN"/>
        </w:rPr>
      </w:pPr>
      <w:r>
        <w:rPr>
          <w:rFonts w:hint="eastAsia"/>
          <w:color w:val="auto"/>
          <w:lang w:val="en-US" w:eastAsia="zh-CN"/>
        </w:rPr>
        <w:t>8、水平电缆沿弱电综合桥架敷设，到室内为穿JDG管敷设；垂直干线采用光缆和大对数电缆在电井内沿弱电垂直桥架敷设。</w:t>
      </w:r>
    </w:p>
    <w:p>
      <w:pPr>
        <w:pStyle w:val="2"/>
        <w:bidi w:val="0"/>
        <w:rPr>
          <w:rFonts w:hint="default" w:cs="宋体"/>
          <w:color w:val="auto"/>
          <w:lang w:val="en-US" w:eastAsia="zh-CN"/>
        </w:rPr>
      </w:pPr>
      <w:r>
        <w:rPr>
          <w:rFonts w:hint="eastAsia"/>
          <w:color w:val="auto"/>
          <w:lang w:val="en-US" w:eastAsia="zh-CN"/>
        </w:rPr>
        <w:br w:type="column"/>
      </w:r>
      <w:r>
        <w:rPr>
          <w:rFonts w:hint="eastAsia" w:cs="宋体"/>
          <w:color w:val="auto"/>
          <w:lang w:val="en-US" w:eastAsia="zh-CN"/>
        </w:rPr>
        <w:t>暖通设计</w:t>
      </w:r>
    </w:p>
    <w:p>
      <w:pPr>
        <w:pStyle w:val="3"/>
        <w:bidi w:val="0"/>
        <w:rPr>
          <w:color w:val="auto"/>
        </w:rPr>
      </w:pPr>
      <w:r>
        <w:rPr>
          <w:rFonts w:hint="eastAsia"/>
          <w:color w:val="auto"/>
        </w:rPr>
        <w:t>工程概况</w:t>
      </w:r>
    </w:p>
    <w:p>
      <w:pPr>
        <w:bidi w:val="0"/>
        <w:rPr>
          <w:rFonts w:hint="default"/>
          <w:color w:val="auto"/>
          <w:lang w:val="en-US" w:eastAsia="zh-CN"/>
        </w:rPr>
      </w:pPr>
      <w:r>
        <w:rPr>
          <w:rFonts w:hint="eastAsia"/>
          <w:color w:val="auto"/>
          <w:lang w:val="en-US" w:eastAsia="zh-CN"/>
        </w:rPr>
        <w:t>详建筑篇</w:t>
      </w:r>
      <w:r>
        <w:rPr>
          <w:rFonts w:hint="default"/>
          <w:color w:val="auto"/>
          <w:lang w:val="en-US" w:eastAsia="zh-CN"/>
        </w:rPr>
        <w:t>。</w:t>
      </w:r>
    </w:p>
    <w:p>
      <w:pPr>
        <w:pStyle w:val="3"/>
        <w:bidi w:val="0"/>
        <w:rPr>
          <w:color w:val="auto"/>
        </w:rPr>
      </w:pPr>
      <w:r>
        <w:rPr>
          <w:rFonts w:hint="eastAsia"/>
          <w:color w:val="auto"/>
        </w:rPr>
        <w:t>设计依据</w:t>
      </w:r>
    </w:p>
    <w:p>
      <w:pPr>
        <w:bidi w:val="0"/>
        <w:rPr>
          <w:color w:val="auto"/>
        </w:rPr>
      </w:pPr>
      <w:r>
        <w:rPr>
          <w:rFonts w:hint="default"/>
          <w:color w:val="auto"/>
          <w:lang w:val="en-US" w:eastAsia="zh-CN"/>
        </w:rPr>
        <w:t>1、</w:t>
      </w:r>
      <w:r>
        <w:rPr>
          <w:rFonts w:hint="eastAsia"/>
          <w:color w:val="auto"/>
        </w:rPr>
        <w:t>建设方</w:t>
      </w:r>
      <w:r>
        <w:rPr>
          <w:color w:val="auto"/>
        </w:rPr>
        <w:t>对本专业系统设置的要求</w:t>
      </w:r>
      <w:r>
        <w:rPr>
          <w:rFonts w:hint="eastAsia"/>
          <w:color w:val="auto"/>
        </w:rPr>
        <w:t>；</w:t>
      </w:r>
    </w:p>
    <w:p>
      <w:pPr>
        <w:bidi w:val="0"/>
        <w:rPr>
          <w:rFonts w:hint="eastAsia"/>
          <w:color w:val="auto"/>
        </w:rPr>
      </w:pPr>
      <w:r>
        <w:rPr>
          <w:rFonts w:hint="default"/>
          <w:color w:val="auto"/>
          <w:lang w:val="en-US" w:eastAsia="zh-CN"/>
        </w:rPr>
        <w:t>2、</w:t>
      </w:r>
      <w:r>
        <w:rPr>
          <w:color w:val="auto"/>
        </w:rPr>
        <w:t>建筑设计各相关专业提供的图纸、资料和要求等</w:t>
      </w:r>
      <w:r>
        <w:rPr>
          <w:rFonts w:hint="eastAsia"/>
          <w:color w:val="auto"/>
        </w:rPr>
        <w:t>；</w:t>
      </w:r>
    </w:p>
    <w:p>
      <w:pPr>
        <w:bidi w:val="0"/>
        <w:rPr>
          <w:rFonts w:hint="eastAsia"/>
          <w:color w:val="auto"/>
        </w:rPr>
      </w:pPr>
      <w:r>
        <w:rPr>
          <w:rFonts w:hint="default"/>
          <w:color w:val="auto"/>
          <w:lang w:val="en-US" w:eastAsia="zh-CN"/>
        </w:rPr>
        <w:t>3、</w:t>
      </w:r>
      <w:r>
        <w:rPr>
          <w:color w:val="auto"/>
        </w:rPr>
        <w:t>《民用建筑供暖通风与空气调节设计规范》GB50736－2012</w:t>
      </w:r>
      <w:r>
        <w:rPr>
          <w:rFonts w:hint="eastAsia"/>
          <w:color w:val="auto"/>
        </w:rPr>
        <w:t>；</w:t>
      </w:r>
    </w:p>
    <w:p>
      <w:pPr>
        <w:bidi w:val="0"/>
        <w:rPr>
          <w:color w:val="auto"/>
        </w:rPr>
      </w:pPr>
      <w:r>
        <w:rPr>
          <w:color w:val="auto"/>
        </w:rPr>
        <w:t>4、《建筑设计防火规范》GB50016-2014（2018版）</w:t>
      </w:r>
      <w:r>
        <w:rPr>
          <w:rFonts w:hint="eastAsia"/>
          <w:color w:val="auto"/>
        </w:rPr>
        <w:t>；</w:t>
      </w:r>
    </w:p>
    <w:p>
      <w:pPr>
        <w:bidi w:val="0"/>
        <w:rPr>
          <w:rFonts w:hint="eastAsia"/>
          <w:color w:val="auto"/>
        </w:rPr>
      </w:pPr>
      <w:r>
        <w:rPr>
          <w:color w:val="auto"/>
        </w:rPr>
        <w:t>5、《建筑防烟排烟系统技术标准》GB5</w:t>
      </w:r>
      <w:r>
        <w:rPr>
          <w:rFonts w:hint="eastAsia"/>
          <w:color w:val="auto"/>
          <w:lang w:eastAsia="zh-CN"/>
        </w:rPr>
        <w:t>89</w:t>
      </w:r>
      <w:r>
        <w:rPr>
          <w:color w:val="auto"/>
        </w:rPr>
        <w:t>1-2017（2018版）</w:t>
      </w:r>
      <w:r>
        <w:rPr>
          <w:rFonts w:hint="eastAsia"/>
          <w:color w:val="auto"/>
        </w:rPr>
        <w:t>；</w:t>
      </w:r>
    </w:p>
    <w:p>
      <w:pPr>
        <w:bidi w:val="0"/>
        <w:rPr>
          <w:color w:val="auto"/>
        </w:rPr>
      </w:pPr>
      <w:r>
        <w:rPr>
          <w:color w:val="auto"/>
        </w:rPr>
        <w:t>6</w:t>
      </w:r>
      <w:r>
        <w:rPr>
          <w:rFonts w:hint="eastAsia"/>
          <w:color w:val="auto"/>
        </w:rPr>
        <w:t>、</w:t>
      </w:r>
      <w:r>
        <w:rPr>
          <w:color w:val="auto"/>
        </w:rPr>
        <w:t>《民用建筑设计统一标准》GB50352-2019</w:t>
      </w:r>
      <w:r>
        <w:rPr>
          <w:rFonts w:hint="eastAsia"/>
          <w:color w:val="auto"/>
        </w:rPr>
        <w:t>；</w:t>
      </w:r>
    </w:p>
    <w:p>
      <w:pPr>
        <w:bidi w:val="0"/>
        <w:rPr>
          <w:color w:val="auto"/>
        </w:rPr>
      </w:pPr>
      <w:r>
        <w:rPr>
          <w:rFonts w:hint="eastAsia"/>
          <w:color w:val="auto"/>
        </w:rPr>
        <w:t>7、《民用建筑通用规范》GB55031-2022；</w:t>
      </w:r>
    </w:p>
    <w:p>
      <w:pPr>
        <w:bidi w:val="0"/>
        <w:rPr>
          <w:rFonts w:hint="eastAsia"/>
          <w:color w:val="auto"/>
        </w:rPr>
      </w:pPr>
      <w:r>
        <w:rPr>
          <w:color w:val="auto"/>
        </w:rPr>
        <w:t>8、</w:t>
      </w:r>
      <w:r>
        <w:rPr>
          <w:rFonts w:hint="eastAsia"/>
          <w:color w:val="auto"/>
        </w:rPr>
        <w:t>《建筑节能与可再生能源利用通用规范》GB55015-2021；</w:t>
      </w:r>
    </w:p>
    <w:p>
      <w:pPr>
        <w:bidi w:val="0"/>
        <w:rPr>
          <w:color w:val="auto"/>
        </w:rPr>
      </w:pPr>
      <w:r>
        <w:rPr>
          <w:color w:val="auto"/>
        </w:rPr>
        <w:t>9、</w:t>
      </w:r>
      <w:r>
        <w:rPr>
          <w:rFonts w:hint="eastAsia"/>
          <w:color w:val="auto"/>
        </w:rPr>
        <w:t>《建筑与市政工程抗震通用规范》GB55002-2021；</w:t>
      </w:r>
    </w:p>
    <w:p>
      <w:pPr>
        <w:bidi w:val="0"/>
        <w:rPr>
          <w:color w:val="auto"/>
        </w:rPr>
      </w:pPr>
      <w:r>
        <w:rPr>
          <w:color w:val="auto"/>
        </w:rPr>
        <w:t>10</w:t>
      </w:r>
      <w:r>
        <w:rPr>
          <w:rFonts w:hint="eastAsia"/>
          <w:color w:val="auto"/>
        </w:rPr>
        <w:t>、</w:t>
      </w:r>
      <w:r>
        <w:rPr>
          <w:color w:val="auto"/>
        </w:rPr>
        <w:t>《通风与空调工程施工质量验收规范》GB50243-2016；</w:t>
      </w:r>
    </w:p>
    <w:p>
      <w:pPr>
        <w:bidi w:val="0"/>
        <w:rPr>
          <w:color w:val="auto"/>
        </w:rPr>
      </w:pPr>
      <w:r>
        <w:rPr>
          <w:color w:val="auto"/>
        </w:rPr>
        <w:t>11、《通风与空调工程施工规范》GB50738-2011；</w:t>
      </w:r>
    </w:p>
    <w:p>
      <w:pPr>
        <w:bidi w:val="0"/>
        <w:rPr>
          <w:color w:val="auto"/>
        </w:rPr>
      </w:pPr>
      <w:r>
        <w:rPr>
          <w:rFonts w:hint="eastAsia"/>
          <w:color w:val="auto"/>
        </w:rPr>
        <w:t>1</w:t>
      </w:r>
      <w:r>
        <w:rPr>
          <w:color w:val="auto"/>
        </w:rPr>
        <w:t>2</w:t>
      </w:r>
      <w:r>
        <w:rPr>
          <w:rFonts w:hint="eastAsia"/>
          <w:color w:val="auto"/>
        </w:rPr>
        <w:t>、</w:t>
      </w:r>
      <w:r>
        <w:rPr>
          <w:color w:val="auto"/>
        </w:rPr>
        <w:t>《建筑机电工程抗震设计规范》GB50981-2014；</w:t>
      </w:r>
    </w:p>
    <w:p>
      <w:pPr>
        <w:bidi w:val="0"/>
        <w:rPr>
          <w:rFonts w:hint="eastAsia"/>
          <w:color w:val="auto"/>
        </w:rPr>
      </w:pPr>
      <w:r>
        <w:rPr>
          <w:color w:val="auto"/>
        </w:rPr>
        <w:t>13、《建筑抗震设计规范》GB50011-2010；</w:t>
      </w:r>
    </w:p>
    <w:p>
      <w:pPr>
        <w:bidi w:val="0"/>
        <w:rPr>
          <w:color w:val="auto"/>
        </w:rPr>
      </w:pPr>
      <w:r>
        <w:rPr>
          <w:color w:val="auto"/>
        </w:rPr>
        <w:t>14、《公共建筑节能设计标准》GB50189－2015；</w:t>
      </w:r>
    </w:p>
    <w:p>
      <w:pPr>
        <w:bidi w:val="0"/>
        <w:rPr>
          <w:color w:val="auto"/>
        </w:rPr>
      </w:pPr>
      <w:r>
        <w:rPr>
          <w:color w:val="auto"/>
        </w:rPr>
        <w:t>15、《湖南省公共建筑节能设计标准》DGB43/003-2017；</w:t>
      </w:r>
    </w:p>
    <w:p>
      <w:pPr>
        <w:bidi w:val="0"/>
        <w:rPr>
          <w:color w:val="auto"/>
        </w:rPr>
      </w:pPr>
      <w:r>
        <w:rPr>
          <w:color w:val="auto"/>
        </w:rPr>
        <w:t>16、</w:t>
      </w:r>
      <w:r>
        <w:rPr>
          <w:rFonts w:hint="eastAsia"/>
          <w:color w:val="auto"/>
        </w:rPr>
        <w:t>《建筑防火封堵应用技术标准》GB/T51410-2020</w:t>
      </w:r>
      <w:r>
        <w:rPr>
          <w:color w:val="auto"/>
        </w:rPr>
        <w:t>；</w:t>
      </w:r>
    </w:p>
    <w:p>
      <w:pPr>
        <w:bidi w:val="0"/>
        <w:rPr>
          <w:rFonts w:hint="eastAsia"/>
          <w:color w:val="auto"/>
        </w:rPr>
      </w:pPr>
      <w:r>
        <w:rPr>
          <w:color w:val="auto"/>
        </w:rPr>
        <w:t>17、</w:t>
      </w:r>
      <w:r>
        <w:rPr>
          <w:rFonts w:hint="eastAsia"/>
          <w:color w:val="auto"/>
        </w:rPr>
        <w:t>《建筑环境通用规范》GB55016-2021；</w:t>
      </w:r>
    </w:p>
    <w:p>
      <w:pPr>
        <w:bidi w:val="0"/>
        <w:rPr>
          <w:rFonts w:hint="eastAsia"/>
          <w:color w:val="auto"/>
        </w:rPr>
      </w:pPr>
      <w:r>
        <w:rPr>
          <w:color w:val="auto"/>
        </w:rPr>
        <w:t>18、</w:t>
      </w:r>
      <w:r>
        <w:rPr>
          <w:rFonts w:hint="eastAsia"/>
          <w:color w:val="auto"/>
        </w:rPr>
        <w:t>《燃气工程项目规范》GB55009-2021；</w:t>
      </w:r>
    </w:p>
    <w:p>
      <w:pPr>
        <w:bidi w:val="0"/>
        <w:rPr>
          <w:rFonts w:hint="eastAsia"/>
          <w:color w:val="auto"/>
        </w:rPr>
      </w:pPr>
      <w:r>
        <w:rPr>
          <w:color w:val="auto"/>
        </w:rPr>
        <w:t>1</w:t>
      </w:r>
      <w:r>
        <w:rPr>
          <w:rFonts w:hint="eastAsia"/>
          <w:color w:val="auto"/>
          <w:lang w:val="en-US" w:eastAsia="zh-CN"/>
        </w:rPr>
        <w:t>9</w:t>
      </w:r>
      <w:r>
        <w:rPr>
          <w:color w:val="auto"/>
        </w:rPr>
        <w:t>、</w:t>
      </w:r>
      <w:r>
        <w:rPr>
          <w:rFonts w:hint="eastAsia"/>
          <w:color w:val="auto"/>
        </w:rPr>
        <w:t>《消防设施通用规范》GB55036-2022；</w:t>
      </w:r>
    </w:p>
    <w:p>
      <w:pPr>
        <w:bidi w:val="0"/>
        <w:rPr>
          <w:rFonts w:hint="default"/>
          <w:color w:val="auto"/>
          <w:lang w:val="en-US" w:eastAsia="zh-CN"/>
        </w:rPr>
      </w:pPr>
      <w:r>
        <w:rPr>
          <w:rFonts w:hint="eastAsia"/>
          <w:color w:val="auto"/>
          <w:lang w:val="en-US" w:eastAsia="zh-CN"/>
        </w:rPr>
        <w:t>20</w:t>
      </w:r>
      <w:r>
        <w:rPr>
          <w:color w:val="auto"/>
        </w:rPr>
        <w:t>、</w:t>
      </w:r>
      <w:r>
        <w:rPr>
          <w:rFonts w:hint="eastAsia"/>
          <w:color w:val="auto"/>
        </w:rPr>
        <w:t>《建筑防火通用规范》GB55037-2022；</w:t>
      </w:r>
    </w:p>
    <w:p>
      <w:pPr>
        <w:bidi w:val="0"/>
        <w:rPr>
          <w:rFonts w:hint="eastAsia"/>
          <w:color w:val="auto"/>
        </w:rPr>
      </w:pPr>
      <w:r>
        <w:rPr>
          <w:rFonts w:hint="eastAsia"/>
          <w:color w:val="auto"/>
          <w:lang w:val="en-US" w:eastAsia="zh-CN"/>
        </w:rPr>
        <w:t>21</w:t>
      </w:r>
      <w:r>
        <w:rPr>
          <w:color w:val="auto"/>
        </w:rPr>
        <w:t>、</w:t>
      </w:r>
      <w:r>
        <w:rPr>
          <w:rFonts w:hint="default"/>
          <w:color w:val="auto"/>
          <w:lang w:val="en-US" w:eastAsia="zh-CN"/>
        </w:rPr>
        <w:t>《工业建筑供暖通风与空气调节设计规范》GB50019-2015</w:t>
      </w:r>
      <w:r>
        <w:rPr>
          <w:rFonts w:hint="eastAsia"/>
          <w:color w:val="auto"/>
        </w:rPr>
        <w:t>；</w:t>
      </w:r>
    </w:p>
    <w:p>
      <w:pPr>
        <w:bidi w:val="0"/>
        <w:rPr>
          <w:rFonts w:hint="default"/>
          <w:color w:val="auto"/>
          <w:lang w:val="en-US" w:eastAsia="zh-CN"/>
        </w:rPr>
      </w:pPr>
      <w:r>
        <w:rPr>
          <w:rFonts w:hint="eastAsia"/>
          <w:color w:val="auto"/>
          <w:lang w:val="en-US" w:eastAsia="zh-CN"/>
        </w:rPr>
        <w:t>22</w:t>
      </w:r>
      <w:r>
        <w:rPr>
          <w:color w:val="auto"/>
        </w:rPr>
        <w:t>、</w:t>
      </w:r>
      <w:r>
        <w:rPr>
          <w:rFonts w:hint="default"/>
          <w:color w:val="auto"/>
          <w:lang w:val="en-US" w:eastAsia="zh-CN"/>
        </w:rPr>
        <w:t>《工业建筑节能设计统一标准》GB51245-2017。</w:t>
      </w:r>
    </w:p>
    <w:p>
      <w:pPr>
        <w:pStyle w:val="3"/>
        <w:bidi w:val="0"/>
        <w:rPr>
          <w:rFonts w:hint="eastAsia"/>
          <w:color w:val="auto"/>
        </w:rPr>
      </w:pPr>
      <w:r>
        <w:rPr>
          <w:rFonts w:hint="eastAsia"/>
          <w:color w:val="auto"/>
        </w:rPr>
        <w:t>设计范围</w:t>
      </w:r>
    </w:p>
    <w:p>
      <w:pPr>
        <w:bidi w:val="0"/>
        <w:rPr>
          <w:color w:val="auto"/>
        </w:rPr>
      </w:pPr>
      <w:r>
        <w:rPr>
          <w:rFonts w:hint="eastAsia"/>
          <w:color w:val="auto"/>
        </w:rPr>
        <w:t>1、通风系统；2、防排烟系统设计</w:t>
      </w:r>
      <w:r>
        <w:rPr>
          <w:color w:val="auto"/>
        </w:rPr>
        <w:t>；</w:t>
      </w:r>
      <w:r>
        <w:rPr>
          <w:rFonts w:hint="eastAsia"/>
          <w:color w:val="auto"/>
        </w:rPr>
        <w:t>3、</w:t>
      </w:r>
      <w:r>
        <w:rPr>
          <w:color w:val="auto"/>
        </w:rPr>
        <w:t>空调系统</w:t>
      </w:r>
      <w:r>
        <w:rPr>
          <w:rFonts w:hint="eastAsia"/>
          <w:color w:val="auto"/>
          <w:lang w:val="en-US" w:eastAsia="zh-CN"/>
        </w:rPr>
        <w:t>用户自理</w:t>
      </w:r>
      <w:r>
        <w:rPr>
          <w:rFonts w:hint="eastAsia"/>
          <w:color w:val="auto"/>
        </w:rPr>
        <w:t>。</w:t>
      </w:r>
    </w:p>
    <w:p>
      <w:pPr>
        <w:pStyle w:val="3"/>
        <w:bidi w:val="0"/>
        <w:rPr>
          <w:rFonts w:hint="eastAsia"/>
          <w:color w:val="auto"/>
        </w:rPr>
      </w:pPr>
      <w:r>
        <w:rPr>
          <w:rFonts w:hint="eastAsia"/>
          <w:color w:val="auto"/>
        </w:rPr>
        <w:t>设计参数</w:t>
      </w:r>
    </w:p>
    <w:p>
      <w:pPr>
        <w:bidi w:val="0"/>
        <w:rPr>
          <w:rFonts w:hint="eastAsia"/>
          <w:color w:val="auto"/>
        </w:rPr>
      </w:pPr>
      <w:r>
        <w:rPr>
          <w:rFonts w:hint="eastAsia"/>
          <w:color w:val="auto"/>
        </w:rPr>
        <w:t>1、室外设计参数</w:t>
      </w:r>
    </w:p>
    <w:p>
      <w:pPr>
        <w:bidi w:val="0"/>
        <w:rPr>
          <w:rFonts w:hint="eastAsia"/>
          <w:color w:val="auto"/>
        </w:rPr>
      </w:pPr>
      <w:r>
        <w:rPr>
          <w:rFonts w:hint="eastAsia"/>
          <w:color w:val="auto"/>
        </w:rPr>
        <w:t>以《工业建筑供暖通风与空气调节设计规范》GB50019-2015附录A中相关参数作为计算依据。</w:t>
      </w:r>
    </w:p>
    <w:p>
      <w:pPr>
        <w:bidi w:val="0"/>
        <w:rPr>
          <w:rFonts w:hint="eastAsia"/>
          <w:color w:val="auto"/>
        </w:rPr>
      </w:pPr>
      <w:r>
        <w:rPr>
          <w:rFonts w:hint="eastAsia"/>
          <w:color w:val="auto"/>
          <w:lang w:val="en-US" w:eastAsia="zh-CN"/>
        </w:rPr>
        <w:t>2</w:t>
      </w:r>
      <w:r>
        <w:rPr>
          <w:rFonts w:hint="eastAsia"/>
          <w:color w:val="auto"/>
        </w:rPr>
        <w:t>、通风换气次数</w:t>
      </w:r>
    </w:p>
    <w:tbl>
      <w:tblPr>
        <w:tblStyle w:val="1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8"/>
        <w:gridCol w:w="2941"/>
        <w:gridCol w:w="1618"/>
        <w:gridCol w:w="2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87" w:type="pct"/>
            <w:noWrap w:val="0"/>
            <w:vAlign w:val="center"/>
          </w:tcPr>
          <w:p>
            <w:pPr>
              <w:pStyle w:val="17"/>
              <w:bidi w:val="0"/>
              <w:rPr>
                <w:rFonts w:hint="eastAsia"/>
                <w:color w:val="auto"/>
              </w:rPr>
            </w:pPr>
            <w:r>
              <w:rPr>
                <w:rFonts w:hint="eastAsia"/>
                <w:color w:val="auto"/>
              </w:rPr>
              <w:t>房间名称</w:t>
            </w:r>
          </w:p>
        </w:tc>
        <w:tc>
          <w:tcPr>
            <w:tcW w:w="1612" w:type="pct"/>
            <w:noWrap w:val="0"/>
            <w:vAlign w:val="center"/>
          </w:tcPr>
          <w:p>
            <w:pPr>
              <w:pStyle w:val="17"/>
              <w:bidi w:val="0"/>
              <w:rPr>
                <w:rFonts w:hint="eastAsia"/>
                <w:color w:val="auto"/>
              </w:rPr>
            </w:pPr>
            <w:r>
              <w:rPr>
                <w:rFonts w:hint="eastAsia"/>
                <w:color w:val="auto"/>
              </w:rPr>
              <w:t>换气次数（次/h）</w:t>
            </w:r>
          </w:p>
        </w:tc>
        <w:tc>
          <w:tcPr>
            <w:tcW w:w="887" w:type="pct"/>
            <w:noWrap w:val="0"/>
            <w:vAlign w:val="center"/>
          </w:tcPr>
          <w:p>
            <w:pPr>
              <w:pStyle w:val="17"/>
              <w:bidi w:val="0"/>
              <w:rPr>
                <w:rFonts w:hint="eastAsia"/>
                <w:color w:val="auto"/>
              </w:rPr>
            </w:pPr>
            <w:r>
              <w:rPr>
                <w:rFonts w:hint="eastAsia"/>
                <w:color w:val="auto"/>
              </w:rPr>
              <w:t>房间名称</w:t>
            </w:r>
          </w:p>
        </w:tc>
        <w:tc>
          <w:tcPr>
            <w:tcW w:w="1612" w:type="pct"/>
            <w:noWrap w:val="0"/>
            <w:vAlign w:val="center"/>
          </w:tcPr>
          <w:p>
            <w:pPr>
              <w:pStyle w:val="17"/>
              <w:bidi w:val="0"/>
              <w:rPr>
                <w:rFonts w:hint="eastAsia"/>
                <w:color w:val="auto"/>
              </w:rPr>
            </w:pPr>
            <w:r>
              <w:rPr>
                <w:rFonts w:hint="eastAsia"/>
                <w:color w:val="auto"/>
              </w:rPr>
              <w:t>换气次数（次/h）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87" w:type="pct"/>
            <w:noWrap w:val="0"/>
            <w:vAlign w:val="center"/>
          </w:tcPr>
          <w:p>
            <w:pPr>
              <w:pStyle w:val="17"/>
              <w:bidi w:val="0"/>
              <w:rPr>
                <w:rFonts w:hint="eastAsia"/>
                <w:color w:val="auto"/>
              </w:rPr>
            </w:pPr>
            <w:r>
              <w:rPr>
                <w:rFonts w:hint="eastAsia"/>
                <w:color w:val="auto"/>
              </w:rPr>
              <w:t>水泵房</w:t>
            </w:r>
          </w:p>
        </w:tc>
        <w:tc>
          <w:tcPr>
            <w:tcW w:w="1612" w:type="pct"/>
            <w:noWrap w:val="0"/>
            <w:vAlign w:val="center"/>
          </w:tcPr>
          <w:p>
            <w:pPr>
              <w:pStyle w:val="17"/>
              <w:bidi w:val="0"/>
              <w:rPr>
                <w:rFonts w:hint="eastAsia"/>
                <w:color w:val="auto"/>
              </w:rPr>
            </w:pPr>
            <w:r>
              <w:rPr>
                <w:rFonts w:hint="eastAsia"/>
                <w:color w:val="auto"/>
              </w:rPr>
              <w:t>6</w:t>
            </w:r>
          </w:p>
        </w:tc>
        <w:tc>
          <w:tcPr>
            <w:tcW w:w="887" w:type="pct"/>
            <w:noWrap w:val="0"/>
            <w:vAlign w:val="center"/>
          </w:tcPr>
          <w:p>
            <w:pPr>
              <w:pStyle w:val="17"/>
              <w:bidi w:val="0"/>
              <w:rPr>
                <w:rFonts w:hint="eastAsia"/>
                <w:color w:val="auto"/>
              </w:rPr>
            </w:pPr>
            <w:r>
              <w:rPr>
                <w:rFonts w:hint="eastAsia"/>
                <w:color w:val="auto"/>
              </w:rPr>
              <w:t>卫生间</w:t>
            </w:r>
          </w:p>
        </w:tc>
        <w:tc>
          <w:tcPr>
            <w:tcW w:w="1612" w:type="pct"/>
            <w:noWrap w:val="0"/>
            <w:vAlign w:val="center"/>
          </w:tcPr>
          <w:p>
            <w:pPr>
              <w:pStyle w:val="17"/>
              <w:bidi w:val="0"/>
              <w:rPr>
                <w:rFonts w:hint="eastAsia"/>
                <w:color w:val="auto"/>
              </w:rPr>
            </w:pPr>
            <w:r>
              <w:rPr>
                <w:rFonts w:hint="eastAsia"/>
                <w:color w:val="auto"/>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87" w:type="pct"/>
            <w:noWrap w:val="0"/>
            <w:vAlign w:val="center"/>
          </w:tcPr>
          <w:p>
            <w:pPr>
              <w:pStyle w:val="17"/>
              <w:bidi w:val="0"/>
              <w:rPr>
                <w:rFonts w:hint="eastAsia"/>
                <w:color w:val="auto"/>
              </w:rPr>
            </w:pPr>
            <w:r>
              <w:rPr>
                <w:rFonts w:hint="eastAsia"/>
                <w:color w:val="auto"/>
              </w:rPr>
              <w:t>配电房</w:t>
            </w:r>
          </w:p>
        </w:tc>
        <w:tc>
          <w:tcPr>
            <w:tcW w:w="1612" w:type="pct"/>
            <w:noWrap w:val="0"/>
            <w:vAlign w:val="center"/>
          </w:tcPr>
          <w:p>
            <w:pPr>
              <w:pStyle w:val="17"/>
              <w:bidi w:val="0"/>
              <w:rPr>
                <w:rFonts w:hint="eastAsia"/>
                <w:color w:val="auto"/>
              </w:rPr>
            </w:pPr>
            <w:r>
              <w:rPr>
                <w:rFonts w:hint="eastAsia"/>
                <w:color w:val="auto"/>
              </w:rPr>
              <w:t>12</w:t>
            </w:r>
          </w:p>
        </w:tc>
        <w:tc>
          <w:tcPr>
            <w:tcW w:w="887" w:type="pct"/>
            <w:noWrap w:val="0"/>
            <w:vAlign w:val="center"/>
          </w:tcPr>
          <w:p>
            <w:pPr>
              <w:pStyle w:val="17"/>
              <w:bidi w:val="0"/>
              <w:rPr>
                <w:rFonts w:hint="eastAsia"/>
                <w:color w:val="auto"/>
              </w:rPr>
            </w:pPr>
            <w:r>
              <w:rPr>
                <w:rFonts w:hint="eastAsia"/>
                <w:color w:val="auto"/>
              </w:rPr>
              <w:t>电梯机房</w:t>
            </w:r>
          </w:p>
        </w:tc>
        <w:tc>
          <w:tcPr>
            <w:tcW w:w="1612" w:type="pct"/>
            <w:noWrap w:val="0"/>
            <w:vAlign w:val="center"/>
          </w:tcPr>
          <w:p>
            <w:pPr>
              <w:pStyle w:val="17"/>
              <w:bidi w:val="0"/>
              <w:rPr>
                <w:rFonts w:hint="eastAsia"/>
                <w:color w:val="auto"/>
              </w:rPr>
            </w:pPr>
            <w:r>
              <w:rPr>
                <w:rFonts w:hint="eastAsia"/>
                <w:color w:val="auto"/>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87" w:type="pct"/>
            <w:noWrap w:val="0"/>
            <w:vAlign w:val="center"/>
          </w:tcPr>
          <w:p>
            <w:pPr>
              <w:pStyle w:val="17"/>
              <w:bidi w:val="0"/>
              <w:rPr>
                <w:rFonts w:hint="eastAsia"/>
                <w:color w:val="auto"/>
              </w:rPr>
            </w:pPr>
          </w:p>
        </w:tc>
        <w:tc>
          <w:tcPr>
            <w:tcW w:w="1612" w:type="pct"/>
            <w:noWrap w:val="0"/>
            <w:vAlign w:val="center"/>
          </w:tcPr>
          <w:p>
            <w:pPr>
              <w:pStyle w:val="17"/>
              <w:bidi w:val="0"/>
              <w:rPr>
                <w:rFonts w:hint="eastAsia"/>
                <w:color w:val="auto"/>
              </w:rPr>
            </w:pPr>
          </w:p>
        </w:tc>
        <w:tc>
          <w:tcPr>
            <w:tcW w:w="887" w:type="pct"/>
            <w:noWrap w:val="0"/>
            <w:vAlign w:val="center"/>
          </w:tcPr>
          <w:p>
            <w:pPr>
              <w:pStyle w:val="17"/>
              <w:bidi w:val="0"/>
              <w:rPr>
                <w:rFonts w:hint="eastAsia"/>
                <w:color w:val="auto"/>
              </w:rPr>
            </w:pPr>
          </w:p>
        </w:tc>
        <w:tc>
          <w:tcPr>
            <w:tcW w:w="1612" w:type="pct"/>
            <w:noWrap w:val="0"/>
            <w:vAlign w:val="center"/>
          </w:tcPr>
          <w:p>
            <w:pPr>
              <w:pStyle w:val="17"/>
              <w:bidi w:val="0"/>
              <w:rPr>
                <w:rFonts w:hint="eastAsia"/>
                <w:color w:val="auto"/>
              </w:rPr>
            </w:pPr>
          </w:p>
        </w:tc>
      </w:tr>
    </w:tbl>
    <w:p>
      <w:pPr>
        <w:pStyle w:val="3"/>
        <w:bidi w:val="0"/>
        <w:rPr>
          <w:rFonts w:hint="eastAsia"/>
          <w:color w:val="auto"/>
        </w:rPr>
      </w:pPr>
      <w:r>
        <w:rPr>
          <w:rFonts w:hint="eastAsia"/>
          <w:color w:val="auto"/>
        </w:rPr>
        <w:t>空调系统设计</w:t>
      </w:r>
    </w:p>
    <w:p>
      <w:pPr>
        <w:bidi w:val="0"/>
        <w:rPr>
          <w:rFonts w:hint="eastAsia"/>
          <w:color w:val="auto"/>
          <w:lang w:val="en-US" w:eastAsia="zh-CN"/>
        </w:rPr>
      </w:pPr>
      <w:r>
        <w:rPr>
          <w:rFonts w:hint="eastAsia"/>
          <w:color w:val="auto"/>
          <w:lang w:val="en-US" w:eastAsia="zh-CN"/>
        </w:rPr>
        <w:t>1、厂房应建设单位要求，本项目不考虑空调。</w:t>
      </w:r>
    </w:p>
    <w:p>
      <w:pPr>
        <w:bidi w:val="0"/>
        <w:rPr>
          <w:rFonts w:hint="eastAsia"/>
          <w:color w:val="auto"/>
          <w:lang w:val="en-US" w:eastAsia="zh-CN"/>
        </w:rPr>
      </w:pPr>
      <w:r>
        <w:rPr>
          <w:rFonts w:hint="eastAsia"/>
          <w:color w:val="auto"/>
          <w:lang w:val="en-US" w:eastAsia="zh-CN"/>
        </w:rPr>
        <w:t>2、宿舍采用分体空调由建筑专业预留室外机安装位置及空调套管，电气专业预留分体空调电量及插座，给排水专业预留冷凝水立管及排放接驳口。空调系统由业主自理。</w:t>
      </w:r>
    </w:p>
    <w:p>
      <w:pPr>
        <w:bidi w:val="0"/>
        <w:rPr>
          <w:rFonts w:hint="eastAsia"/>
          <w:color w:val="auto"/>
        </w:rPr>
      </w:pPr>
      <w:r>
        <w:rPr>
          <w:rFonts w:hint="eastAsia"/>
          <w:color w:val="auto"/>
          <w:lang w:val="en-US" w:eastAsia="zh-CN"/>
        </w:rPr>
        <w:t>3、办公楼空调用户自理，预留多联机，多联机机组的APF值应满足在</w:t>
      </w:r>
      <w:r>
        <w:rPr>
          <w:rFonts w:hint="eastAsia"/>
          <w:color w:val="auto"/>
        </w:rPr>
        <w:t>《建筑节能与可再生能源利用通用规范》GB55015-202</w:t>
      </w:r>
    </w:p>
    <w:p>
      <w:pPr>
        <w:pStyle w:val="3"/>
        <w:bidi w:val="0"/>
        <w:rPr>
          <w:rFonts w:hint="eastAsia"/>
          <w:color w:val="auto"/>
        </w:rPr>
      </w:pPr>
      <w:r>
        <w:rPr>
          <w:rFonts w:hint="eastAsia"/>
          <w:color w:val="auto"/>
        </w:rPr>
        <w:t>防排烟系统设计</w:t>
      </w:r>
    </w:p>
    <w:p>
      <w:pPr>
        <w:pStyle w:val="4"/>
        <w:bidi w:val="0"/>
        <w:rPr>
          <w:rFonts w:hint="eastAsia"/>
          <w:color w:val="auto"/>
        </w:rPr>
      </w:pPr>
      <w:r>
        <w:rPr>
          <w:rFonts w:hint="eastAsia"/>
          <w:color w:val="auto"/>
        </w:rPr>
        <w:t>防烟系统设计</w:t>
      </w:r>
    </w:p>
    <w:p>
      <w:pPr>
        <w:bidi w:val="0"/>
        <w:rPr>
          <w:color w:val="auto"/>
        </w:rPr>
      </w:pPr>
      <w:r>
        <w:rPr>
          <w:rFonts w:hint="eastAsia"/>
          <w:color w:val="auto"/>
          <w:lang w:val="en-US" w:eastAsia="zh-CN"/>
        </w:rPr>
        <w:t>1</w:t>
      </w:r>
      <w:r>
        <w:rPr>
          <w:rFonts w:hint="eastAsia"/>
          <w:color w:val="auto"/>
        </w:rPr>
        <w:t>、</w:t>
      </w:r>
      <w:r>
        <w:rPr>
          <w:rFonts w:hint="eastAsia"/>
          <w:color w:val="auto"/>
          <w:lang w:val="en-US" w:eastAsia="zh-CN"/>
        </w:rPr>
        <w:t>本项目</w:t>
      </w:r>
      <w:r>
        <w:rPr>
          <w:rFonts w:hint="eastAsia"/>
          <w:color w:val="auto"/>
        </w:rPr>
        <w:t>封闭楼梯间</w:t>
      </w:r>
      <w:r>
        <w:rPr>
          <w:rFonts w:hint="eastAsia"/>
          <w:color w:val="auto"/>
          <w:lang w:val="en-US" w:eastAsia="zh-CN"/>
        </w:rPr>
        <w:t>采用</w:t>
      </w:r>
      <w:r>
        <w:rPr>
          <w:rFonts w:hint="eastAsia"/>
          <w:color w:val="auto"/>
        </w:rPr>
        <w:t>自然通风，在最高部位设置面积不小于1m2的可开启外窗；楼梯间的外墙上每5层内设置总面积不小于2m2的可开启外窗，且布置间隔不大于3层。</w:t>
      </w:r>
    </w:p>
    <w:p>
      <w:pPr>
        <w:bidi w:val="0"/>
        <w:rPr>
          <w:rFonts w:hint="eastAsia"/>
          <w:color w:val="auto"/>
        </w:rPr>
      </w:pPr>
      <w:r>
        <w:rPr>
          <w:rFonts w:hint="eastAsia"/>
          <w:color w:val="auto"/>
          <w:lang w:val="en-US" w:eastAsia="zh-CN"/>
        </w:rPr>
        <w:t>2</w:t>
      </w:r>
      <w:r>
        <w:rPr>
          <w:rFonts w:hint="eastAsia"/>
          <w:color w:val="auto"/>
        </w:rPr>
        <w:t>、设置在高处不便于直接开启的可开启外窗在距地1.5m的位置设置手动开启装置。</w:t>
      </w:r>
    </w:p>
    <w:p>
      <w:pPr>
        <w:pStyle w:val="4"/>
        <w:bidi w:val="0"/>
        <w:rPr>
          <w:rFonts w:hint="eastAsia"/>
          <w:color w:val="auto"/>
        </w:rPr>
      </w:pPr>
      <w:r>
        <w:rPr>
          <w:rFonts w:hint="eastAsia"/>
          <w:color w:val="auto"/>
        </w:rPr>
        <w:t>排烟系统设计</w:t>
      </w:r>
    </w:p>
    <w:p>
      <w:pPr>
        <w:bidi w:val="0"/>
        <w:rPr>
          <w:rFonts w:hint="eastAsia"/>
          <w:color w:val="auto"/>
        </w:rPr>
      </w:pPr>
      <w:r>
        <w:rPr>
          <w:rFonts w:hint="eastAsia"/>
          <w:color w:val="auto"/>
          <w:lang w:val="en-US" w:eastAsia="zh-CN"/>
        </w:rPr>
        <w:t>1、</w:t>
      </w:r>
      <w:r>
        <w:rPr>
          <w:rFonts w:hint="eastAsia"/>
          <w:color w:val="auto"/>
        </w:rPr>
        <w:t>地上50m2~100m2的房间应设置可开启外窗，具体开窗设置详建筑。</w:t>
      </w:r>
    </w:p>
    <w:p>
      <w:pPr>
        <w:bidi w:val="0"/>
        <w:rPr>
          <w:rFonts w:hint="eastAsia"/>
          <w:color w:val="auto"/>
        </w:rPr>
      </w:pPr>
      <w:r>
        <w:rPr>
          <w:rFonts w:hint="eastAsia"/>
          <w:color w:val="auto"/>
          <w:lang w:val="en-US" w:eastAsia="zh-CN"/>
        </w:rPr>
        <w:t>2、</w:t>
      </w:r>
      <w:r>
        <w:rPr>
          <w:rFonts w:hint="eastAsia"/>
          <w:color w:val="auto"/>
        </w:rPr>
        <w:t>地上大于100m2的房间采用自然排烟，储烟仓内设置有效排烟窗不小于房间面积的2%，具体开窗设置详建筑。</w:t>
      </w:r>
    </w:p>
    <w:p>
      <w:pPr>
        <w:bidi w:val="0"/>
        <w:rPr>
          <w:rFonts w:hint="eastAsia"/>
          <w:color w:val="auto"/>
        </w:rPr>
      </w:pPr>
      <w:r>
        <w:rPr>
          <w:rFonts w:hint="eastAsia"/>
          <w:color w:val="auto"/>
          <w:lang w:val="en-US" w:eastAsia="zh-CN"/>
        </w:rPr>
        <w:t>3、</w:t>
      </w:r>
      <w:r>
        <w:rPr>
          <w:rFonts w:hint="eastAsia"/>
          <w:color w:val="auto"/>
        </w:rPr>
        <w:t>地上走道采用自然排烟，走道两端在储烟仓内分别设置有效排烟窗不小于</w:t>
      </w:r>
      <w:r>
        <w:rPr>
          <w:rFonts w:hint="eastAsia"/>
          <w:color w:val="auto"/>
          <w:lang w:val="en-US" w:eastAsia="zh-CN"/>
        </w:rPr>
        <w:t>地面</w:t>
      </w:r>
      <w:r>
        <w:rPr>
          <w:rFonts w:hint="eastAsia"/>
          <w:color w:val="auto"/>
        </w:rPr>
        <w:t>面积的2%，具体开窗设置详建筑。</w:t>
      </w:r>
    </w:p>
    <w:p>
      <w:pPr>
        <w:bidi w:val="0"/>
        <w:rPr>
          <w:rFonts w:hint="eastAsia"/>
          <w:color w:val="auto"/>
        </w:rPr>
      </w:pPr>
      <w:r>
        <w:rPr>
          <w:rFonts w:hint="eastAsia"/>
          <w:color w:val="auto"/>
          <w:lang w:val="en-US" w:eastAsia="zh-CN"/>
        </w:rPr>
        <w:t>4</w:t>
      </w:r>
      <w:r>
        <w:rPr>
          <w:rFonts w:hint="eastAsia"/>
          <w:color w:val="auto"/>
        </w:rPr>
        <w:t>、排烟窗应设置于储烟仓内，且防烟分区内任一点到排烟窗的水平距离均小于30m，清晰高度应满足标准要求。设置于高位不便于直接开启的自然排烟窗，应在距地面高度1.5m处设置手动开启装置。</w:t>
      </w:r>
    </w:p>
    <w:p>
      <w:pPr>
        <w:bidi w:val="0"/>
        <w:rPr>
          <w:color w:val="auto"/>
        </w:rPr>
      </w:pPr>
      <w:r>
        <w:rPr>
          <w:rFonts w:hint="eastAsia"/>
          <w:color w:val="auto"/>
          <w:lang w:val="en-US" w:eastAsia="zh-CN"/>
        </w:rPr>
        <w:t>5</w:t>
      </w:r>
      <w:r>
        <w:rPr>
          <w:rFonts w:hint="eastAsia"/>
          <w:color w:val="auto"/>
        </w:rPr>
        <w:t>、</w:t>
      </w:r>
      <w:r>
        <w:rPr>
          <w:rFonts w:hint="eastAsia"/>
          <w:color w:val="auto"/>
          <w:lang w:val="en-US" w:eastAsia="zh-CN"/>
        </w:rPr>
        <w:t>丁类车间面积不大于5000m2，不需要设置排烟</w:t>
      </w:r>
      <w:r>
        <w:rPr>
          <w:rFonts w:hint="eastAsia"/>
          <w:color w:val="auto"/>
        </w:rPr>
        <w:t>。</w:t>
      </w:r>
    </w:p>
    <w:p>
      <w:pPr>
        <w:pStyle w:val="4"/>
        <w:bidi w:val="0"/>
        <w:rPr>
          <w:rFonts w:hint="eastAsia"/>
          <w:color w:val="auto"/>
        </w:rPr>
      </w:pPr>
      <w:r>
        <w:rPr>
          <w:rFonts w:hint="eastAsia"/>
          <w:color w:val="auto"/>
        </w:rPr>
        <w:t>补风系统</w:t>
      </w:r>
    </w:p>
    <w:p>
      <w:pPr>
        <w:bidi w:val="0"/>
        <w:rPr>
          <w:rFonts w:hint="eastAsia"/>
          <w:color w:val="auto"/>
        </w:rPr>
      </w:pPr>
      <w:r>
        <w:rPr>
          <w:rFonts w:hint="eastAsia"/>
          <w:color w:val="auto"/>
        </w:rPr>
        <w:t>1、除地上建筑的走道或建筑面积小于500m2的房间外，设置排烟系统的场所应设置补风系统。补风系统应直接从室外引入空气，且补风量不应小于排烟量的50%。</w:t>
      </w:r>
      <w:r>
        <w:rPr>
          <w:rFonts w:hint="eastAsia"/>
          <w:color w:val="auto"/>
          <w:lang w:val="en-US" w:eastAsia="zh-CN"/>
        </w:rPr>
        <w:t>本工程</w:t>
      </w:r>
      <w:r>
        <w:rPr>
          <w:rFonts w:hint="eastAsia"/>
          <w:color w:val="auto"/>
        </w:rPr>
        <w:t>各区域</w:t>
      </w:r>
      <w:r>
        <w:rPr>
          <w:rFonts w:hint="eastAsia"/>
          <w:color w:val="auto"/>
          <w:lang w:val="en-US" w:eastAsia="zh-CN"/>
        </w:rPr>
        <w:t>均</w:t>
      </w:r>
      <w:r>
        <w:rPr>
          <w:rFonts w:hint="eastAsia"/>
          <w:color w:val="auto"/>
        </w:rPr>
        <w:t>采用自然补风。</w:t>
      </w:r>
    </w:p>
    <w:p>
      <w:pPr>
        <w:bidi w:val="0"/>
        <w:rPr>
          <w:rFonts w:hint="eastAsia"/>
          <w:color w:val="auto"/>
        </w:rPr>
      </w:pPr>
      <w:r>
        <w:rPr>
          <w:rFonts w:hint="eastAsia"/>
          <w:color w:val="auto"/>
        </w:rPr>
        <w:t>（四）、防排烟自动控制要求</w:t>
      </w:r>
    </w:p>
    <w:p>
      <w:pPr>
        <w:bidi w:val="0"/>
        <w:rPr>
          <w:rFonts w:hint="eastAsia"/>
          <w:color w:val="auto"/>
        </w:rPr>
      </w:pPr>
      <w:r>
        <w:rPr>
          <w:color w:val="auto"/>
        </w:rPr>
        <w:t>1</w:t>
      </w:r>
      <w:r>
        <w:rPr>
          <w:rFonts w:hint="eastAsia"/>
          <w:color w:val="auto"/>
        </w:rPr>
        <w:t>、消防用排烟风机和加压送风机，除了就地控制开、停外，均受消防中心控制，其工况在消防控制中心显示。</w:t>
      </w:r>
    </w:p>
    <w:p>
      <w:pPr>
        <w:bidi w:val="0"/>
        <w:rPr>
          <w:rFonts w:hint="eastAsia"/>
          <w:color w:val="auto"/>
        </w:rPr>
      </w:pPr>
      <w:r>
        <w:rPr>
          <w:color w:val="auto"/>
        </w:rPr>
        <w:t>2</w:t>
      </w:r>
      <w:r>
        <w:rPr>
          <w:rFonts w:hint="eastAsia"/>
          <w:color w:val="auto"/>
        </w:rPr>
        <w:t>、发生火灾时，由消防控制中心切断除消防用风机以外的所有通风空调系统电源。</w:t>
      </w:r>
    </w:p>
    <w:p>
      <w:pPr>
        <w:bidi w:val="0"/>
        <w:rPr>
          <w:rFonts w:hint="eastAsia"/>
          <w:color w:val="auto"/>
        </w:rPr>
      </w:pPr>
      <w:r>
        <w:rPr>
          <w:color w:val="auto"/>
        </w:rPr>
        <w:t>3</w:t>
      </w:r>
      <w:r>
        <w:rPr>
          <w:rFonts w:hint="eastAsia"/>
          <w:color w:val="auto"/>
        </w:rPr>
        <w:t>、加压送风机的启动应符合下列规定：（1）现场手动启动；（2）通过火灾自动报警系统自动启动；（3）消防控制室手动启动；（4）系统中任一常闭加压送风口开启时，加压风机应能自动启动。</w:t>
      </w:r>
    </w:p>
    <w:p>
      <w:pPr>
        <w:bidi w:val="0"/>
        <w:rPr>
          <w:color w:val="auto"/>
        </w:rPr>
      </w:pPr>
      <w:r>
        <w:rPr>
          <w:color w:val="auto"/>
        </w:rPr>
        <w:t>4</w:t>
      </w:r>
      <w:r>
        <w:rPr>
          <w:rFonts w:hint="eastAsia"/>
          <w:color w:val="auto"/>
        </w:rPr>
        <w:t>、当防火分区内火灾确认后，应能在15s内联动开启常闭加压送风口和加压送风机，并应符合下列规定：（1）应开启该防火分区楼梯间的全部加压送风机；（2）应开启该防火分区内着火层及其相邻上下层前室及合用前室的常闭送风口，同时开启加压送风机。</w:t>
      </w:r>
    </w:p>
    <w:p>
      <w:pPr>
        <w:bidi w:val="0"/>
        <w:rPr>
          <w:rFonts w:hint="eastAsia"/>
          <w:color w:val="auto"/>
        </w:rPr>
      </w:pPr>
      <w:r>
        <w:rPr>
          <w:color w:val="auto"/>
        </w:rPr>
        <w:t>5</w:t>
      </w:r>
      <w:r>
        <w:rPr>
          <w:rFonts w:hint="eastAsia"/>
          <w:color w:val="auto"/>
        </w:rPr>
        <w:t>、机械加压送风系统应设置测压装置及风压调节措施。正压送风系统楼梯间余压值为50Pa，合用前室余压值为25Pa，在楼梯间的适当位置设置压力传感器，控制加压送风机出口处的旁通泄压阀，调整楼梯间的余压值。在每层前室设置压力传感器，控制加压送风机出口处的旁通泄压阀，调整前室的余压值。</w:t>
      </w:r>
    </w:p>
    <w:p>
      <w:pPr>
        <w:bidi w:val="0"/>
        <w:rPr>
          <w:rFonts w:hint="eastAsia"/>
          <w:color w:val="auto"/>
        </w:rPr>
      </w:pPr>
      <w:r>
        <w:rPr>
          <w:color w:val="auto"/>
        </w:rPr>
        <w:t>6</w:t>
      </w:r>
      <w:r>
        <w:rPr>
          <w:rFonts w:hint="eastAsia"/>
          <w:color w:val="auto"/>
        </w:rPr>
        <w:t>、排烟风机、补风机的控制方式应符合下列规定：（1）现场手动启动；（2）火灾自动报警系统自动启动；（3）消防控制室手动启动；（4）系统中任一排烟阀或排烟口开启时，排烟风机、补风机自动启动；（5）排烟防火阀在280℃时应自行关闭，并应连锁关闭排烟风机和补风机。</w:t>
      </w:r>
    </w:p>
    <w:p>
      <w:pPr>
        <w:bidi w:val="0"/>
        <w:rPr>
          <w:color w:val="auto"/>
        </w:rPr>
      </w:pPr>
      <w:r>
        <w:rPr>
          <w:color w:val="auto"/>
        </w:rPr>
        <w:t>7</w:t>
      </w:r>
      <w:r>
        <w:rPr>
          <w:rFonts w:hint="eastAsia"/>
          <w:color w:val="auto"/>
        </w:rPr>
        <w:t>、当火灾确认后，担负两个及以上防烟分区的排烟系统，应仅打开着火防烟分区的排烟阀或排烟口，其它防烟分区的排烟阀或排烟口应呈关闭状态。</w:t>
      </w:r>
    </w:p>
    <w:p>
      <w:pPr>
        <w:bidi w:val="0"/>
        <w:rPr>
          <w:color w:val="auto"/>
        </w:rPr>
      </w:pPr>
      <w:r>
        <w:rPr>
          <w:rFonts w:hint="eastAsia"/>
          <w:color w:val="auto"/>
        </w:rPr>
        <w:t>8、机械排烟系统中常闭排烟阀或排烟口应具有火灾自动报警系统自动开启、消防控制室手动开启和现场手动开启功能，其开启信号应与排烟风机联动。当火灾确认后，火灾自动报警系统应在15s内联动开启相应防烟分区的全部排烟阀、排烟口、排烟风机和补风机，并应在30s内自动关闭与排烟无关的通风、空调系统。</w:t>
      </w:r>
    </w:p>
    <w:p>
      <w:pPr>
        <w:bidi w:val="0"/>
        <w:rPr>
          <w:color w:val="auto"/>
        </w:rPr>
      </w:pPr>
      <w:r>
        <w:rPr>
          <w:color w:val="auto"/>
        </w:rPr>
        <w:t>9</w:t>
      </w:r>
      <w:r>
        <w:rPr>
          <w:rFonts w:hint="eastAsia"/>
          <w:color w:val="auto"/>
        </w:rPr>
        <w:t>、活动挡烟垂壁应具有火灾自动报警系统自动启动和现场手动启动功能，当火灾确认后，火灾自动报警系统应在15s内联动相应防烟分区的全部活动挡烟垂壁，60s以内挡烟垂壁应开启到位。</w:t>
      </w:r>
    </w:p>
    <w:p>
      <w:pPr>
        <w:bidi w:val="0"/>
        <w:rPr>
          <w:color w:val="auto"/>
        </w:rPr>
      </w:pPr>
      <w:r>
        <w:rPr>
          <w:color w:val="auto"/>
        </w:rPr>
        <w:t>10</w:t>
      </w:r>
      <w:r>
        <w:rPr>
          <w:rFonts w:hint="eastAsia"/>
          <w:color w:val="auto"/>
        </w:rPr>
        <w:t>、自动排烟窗可采用与火灾自动报警系统联动和温度释放装置联动的控制方式。当采用与火灾自动报警系统自动启动时，自动排烟窗应在60s内或小于烟气充满储烟仓时间内开启完毕。带有温控功能自动排烟窗，其温控释放温度应大于环境温度30℃且小于100℃。</w:t>
      </w:r>
    </w:p>
    <w:p>
      <w:pPr>
        <w:bidi w:val="0"/>
        <w:rPr>
          <w:rFonts w:hint="eastAsia"/>
          <w:color w:val="auto"/>
        </w:rPr>
      </w:pPr>
      <w:r>
        <w:rPr>
          <w:rFonts w:hint="eastAsia"/>
          <w:color w:val="auto"/>
        </w:rPr>
        <w:t>1</w:t>
      </w:r>
      <w:r>
        <w:rPr>
          <w:color w:val="auto"/>
        </w:rPr>
        <w:t>1</w:t>
      </w:r>
      <w:r>
        <w:rPr>
          <w:rFonts w:hint="eastAsia"/>
          <w:color w:val="auto"/>
        </w:rPr>
        <w:t>、用于气体灭火后排除有害气体的通风系统，在发生火灾时70℃电动防火阀关闭，停止风机运转。待确认火灾扑灭后，打开房间的70℃电动防火阀，同时联动风机启动，排除房间内有害气体。</w:t>
      </w:r>
    </w:p>
    <w:p>
      <w:pPr>
        <w:bidi w:val="0"/>
        <w:rPr>
          <w:rFonts w:hint="eastAsia"/>
          <w:color w:val="auto"/>
        </w:rPr>
      </w:pPr>
      <w:r>
        <w:rPr>
          <w:color w:val="auto"/>
        </w:rPr>
        <w:t>12</w:t>
      </w:r>
      <w:r>
        <w:rPr>
          <w:rFonts w:hint="eastAsia"/>
          <w:color w:val="auto"/>
        </w:rPr>
        <w:t>、常闭加压送风口、排烟阀或排烟口、活动挡烟垂壁、排烟窗等均应在距地1.5m处设置手动开启装置。</w:t>
      </w:r>
    </w:p>
    <w:p>
      <w:pPr>
        <w:pStyle w:val="4"/>
        <w:bidi w:val="0"/>
        <w:rPr>
          <w:rFonts w:hint="eastAsia"/>
          <w:color w:val="auto"/>
        </w:rPr>
      </w:pPr>
      <w:r>
        <w:rPr>
          <w:rFonts w:hint="eastAsia"/>
          <w:color w:val="auto"/>
        </w:rPr>
        <w:t>防火、防爆设计</w:t>
      </w:r>
    </w:p>
    <w:p>
      <w:pPr>
        <w:bidi w:val="0"/>
        <w:rPr>
          <w:rFonts w:hint="eastAsia"/>
          <w:color w:val="auto"/>
        </w:rPr>
      </w:pPr>
      <w:r>
        <w:rPr>
          <w:rFonts w:hint="eastAsia"/>
          <w:color w:val="auto"/>
        </w:rPr>
        <w:t>1、所有通风排烟管材及附件均采用不燃材料制作。</w:t>
      </w:r>
    </w:p>
    <w:p>
      <w:pPr>
        <w:bidi w:val="0"/>
        <w:rPr>
          <w:rFonts w:hint="eastAsia"/>
          <w:color w:val="auto"/>
        </w:rPr>
      </w:pPr>
      <w:r>
        <w:rPr>
          <w:rFonts w:hint="eastAsia"/>
          <w:color w:val="auto"/>
        </w:rPr>
        <w:t>2、下列情况之一的通风空调系统风管上应设置防火阀：1）穿越防火分区处；2）穿越通风、空调机房的房间隔墙和楼板处；3）穿越重要的或火灾危险性大的房间隔墙和楼板处；4）穿越防火分隔处的变形缝两侧；5）垂直风管与每层水平风管交接处的水平管段上，但当建筑内每个防火分区的通风空调系统均独立设置时，该防火分区内的水平风管与垂直总管的交接处可不设防火阀。</w:t>
      </w:r>
    </w:p>
    <w:p>
      <w:pPr>
        <w:bidi w:val="0"/>
        <w:rPr>
          <w:rFonts w:hint="eastAsia"/>
          <w:color w:val="auto"/>
        </w:rPr>
      </w:pPr>
      <w:r>
        <w:rPr>
          <w:rFonts w:hint="eastAsia"/>
          <w:color w:val="auto"/>
        </w:rPr>
        <w:t>3、防排烟、通风和空气调节系统中的管道，在穿越防火隔墙、楼板和防火墙处的孔隙应采用防火封堵材料封堵。风管穿过防火隔墙、楼板和防火墙时，穿越处风管上的防火阀、排烟防火阀两侧各2.0m范围内的风管应采用耐火风管或风管外壁应采取防火保护措施，且耐火极限不应低于该防火分隔体的耐火极限。</w:t>
      </w:r>
    </w:p>
    <w:p>
      <w:pPr>
        <w:bidi w:val="0"/>
        <w:rPr>
          <w:rFonts w:hint="eastAsia"/>
          <w:color w:val="auto"/>
        </w:rPr>
      </w:pPr>
      <w:r>
        <w:rPr>
          <w:rFonts w:hint="eastAsia"/>
          <w:color w:val="auto"/>
        </w:rPr>
        <w:t>4、防火阀应靠近防火分隔处设置，暗装时在安装部位设置方便维护的检修口。在防火阀两侧各2.0m范围内的风管及其绝热材料应采用不燃材料。</w:t>
      </w:r>
    </w:p>
    <w:p>
      <w:pPr>
        <w:bidi w:val="0"/>
        <w:rPr>
          <w:color w:val="auto"/>
        </w:rPr>
      </w:pPr>
      <w:r>
        <w:rPr>
          <w:color w:val="auto"/>
        </w:rPr>
        <w:t>5</w:t>
      </w:r>
      <w:r>
        <w:rPr>
          <w:rFonts w:hint="eastAsia"/>
          <w:color w:val="auto"/>
        </w:rPr>
        <w:t>、设置在吊顶内的排烟管，应采用不小于50mm厚的不燃烧材料进行隔热，或与可燃物、难燃物保持不小于150mm的距离。</w:t>
      </w:r>
    </w:p>
    <w:p>
      <w:pPr>
        <w:bidi w:val="0"/>
        <w:rPr>
          <w:rFonts w:hint="eastAsia"/>
          <w:color w:val="auto"/>
        </w:rPr>
      </w:pPr>
      <w:r>
        <w:rPr>
          <w:color w:val="auto"/>
        </w:rPr>
        <w:t>6</w:t>
      </w:r>
      <w:r>
        <w:rPr>
          <w:rFonts w:hint="eastAsia"/>
          <w:color w:val="auto"/>
        </w:rPr>
        <w:t>、排烟管道下列部位应设置排烟防火阀：1）、垂直风管与每层水平风管交接处的水平管段上；2）、一个排烟系统担负多个防烟分区的排烟支管上；3）、排烟风机入口处；4）、穿越防火分区处。</w:t>
      </w:r>
    </w:p>
    <w:p>
      <w:pPr>
        <w:bidi w:val="0"/>
        <w:rPr>
          <w:rFonts w:hint="eastAsia" w:ascii="宋体" w:hAnsi="宋体" w:eastAsia="宋体" w:cs="Calibri"/>
          <w:color w:val="auto"/>
          <w:szCs w:val="30"/>
        </w:rPr>
      </w:pPr>
      <w:r>
        <w:rPr>
          <w:rFonts w:hint="eastAsia"/>
          <w:color w:val="auto"/>
        </w:rPr>
        <w:t>7、防排烟系统风管的耐火极限应满足下表要求。当金属风管不能满足耐火极限时，应采取防火包覆措施。防火包覆措施详见国标图集《防排烟系统设备及附件选用及安装》（</w:t>
      </w:r>
      <w:r>
        <w:rPr>
          <w:color w:val="auto"/>
        </w:rPr>
        <w:t>07K103-2</w:t>
      </w:r>
      <w:r>
        <w:rPr>
          <w:rFonts w:hint="eastAsia"/>
          <w:color w:val="auto"/>
        </w:rPr>
        <w:t>）中</w:t>
      </w:r>
      <w:r>
        <w:rPr>
          <w:color w:val="auto"/>
        </w:rPr>
        <w:t>“</w:t>
      </w:r>
      <w:r>
        <w:rPr>
          <w:rFonts w:hint="eastAsia"/>
          <w:color w:val="auto"/>
        </w:rPr>
        <w:t>防火风管说明</w:t>
      </w:r>
      <w:r>
        <w:rPr>
          <w:color w:val="auto"/>
        </w:rPr>
        <w:t>”</w:t>
      </w:r>
      <w:r>
        <w:rPr>
          <w:rFonts w:hint="eastAsia"/>
          <w:color w:val="auto"/>
        </w:rPr>
        <w:t>章节。</w:t>
      </w:r>
    </w:p>
    <w:p>
      <w:pPr>
        <w:bidi w:val="0"/>
        <w:rPr>
          <w:rFonts w:hint="eastAsia"/>
          <w:color w:val="auto"/>
        </w:rPr>
      </w:pPr>
      <w:r>
        <w:rPr>
          <w:color w:val="auto"/>
        </w:rPr>
        <w:drawing>
          <wp:inline distT="0" distB="0" distL="114300" distR="114300">
            <wp:extent cx="5581015" cy="2564130"/>
            <wp:effectExtent l="0" t="0" r="635"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5581015" cy="2564130"/>
                    </a:xfrm>
                    <a:prstGeom prst="rect">
                      <a:avLst/>
                    </a:prstGeom>
                    <a:noFill/>
                    <a:ln>
                      <a:noFill/>
                    </a:ln>
                  </pic:spPr>
                </pic:pic>
              </a:graphicData>
            </a:graphic>
          </wp:inline>
        </w:drawing>
      </w:r>
    </w:p>
    <w:p>
      <w:pPr>
        <w:bidi w:val="0"/>
        <w:rPr>
          <w:rFonts w:hint="eastAsia"/>
          <w:color w:val="auto"/>
        </w:rPr>
      </w:pPr>
      <w:r>
        <w:rPr>
          <w:rFonts w:hint="eastAsia"/>
          <w:color w:val="auto"/>
        </w:rPr>
        <w:t>注：1）竖向设置的加压送风管道独立设置在管道井内，无耐火极限要求。</w:t>
      </w:r>
    </w:p>
    <w:p>
      <w:pPr>
        <w:bidi w:val="0"/>
        <w:rPr>
          <w:rFonts w:hint="eastAsia"/>
          <w:color w:val="auto"/>
        </w:rPr>
      </w:pPr>
      <w:r>
        <w:rPr>
          <w:rFonts w:hint="eastAsia"/>
          <w:color w:val="auto"/>
        </w:rPr>
        <w:t>2）防排烟风管本体、框架与固定材料、密封垫料等必须采用不燃材料，耐火极限时间应符合系统防火设计的规定。</w:t>
      </w:r>
    </w:p>
    <w:p>
      <w:pPr>
        <w:bidi w:val="0"/>
        <w:rPr>
          <w:rFonts w:hint="eastAsia"/>
          <w:color w:val="auto"/>
        </w:rPr>
      </w:pPr>
      <w:r>
        <w:rPr>
          <w:color w:val="auto"/>
        </w:rPr>
        <w:t>7</w:t>
      </w:r>
      <w:r>
        <w:rPr>
          <w:rFonts w:hint="eastAsia"/>
          <w:color w:val="auto"/>
        </w:rPr>
        <w:t>、经过有爆炸危险和变电、配电场所的管网，以及布设在以上场所的金属箱体等，应设防静电接地。</w:t>
      </w:r>
    </w:p>
    <w:p>
      <w:pPr>
        <w:pStyle w:val="3"/>
        <w:bidi w:val="0"/>
        <w:rPr>
          <w:color w:val="auto"/>
        </w:rPr>
      </w:pPr>
      <w:r>
        <w:rPr>
          <w:rFonts w:hint="eastAsia"/>
          <w:color w:val="auto"/>
        </w:rPr>
        <w:t>通风设计</w:t>
      </w:r>
    </w:p>
    <w:p>
      <w:pPr>
        <w:bidi w:val="0"/>
        <w:rPr>
          <w:rFonts w:hint="eastAsia"/>
          <w:color w:val="auto"/>
        </w:rPr>
      </w:pPr>
      <w:r>
        <w:rPr>
          <w:rFonts w:hint="eastAsia"/>
          <w:color w:val="auto"/>
        </w:rPr>
        <w:t>1、公共卫生间、电梯机房等均设置机械排风系统，排风量按1</w:t>
      </w:r>
      <w:r>
        <w:rPr>
          <w:rFonts w:hint="eastAsia"/>
          <w:color w:val="auto"/>
          <w:lang w:val="en-US" w:eastAsia="zh-CN"/>
        </w:rPr>
        <w:t>0</w:t>
      </w:r>
      <w:r>
        <w:rPr>
          <w:rFonts w:hint="eastAsia"/>
          <w:color w:val="auto"/>
        </w:rPr>
        <w:t>次/h计算。</w:t>
      </w:r>
    </w:p>
    <w:p>
      <w:pPr>
        <w:bidi w:val="0"/>
        <w:rPr>
          <w:rFonts w:hint="eastAsia"/>
          <w:color w:val="auto"/>
        </w:rPr>
      </w:pPr>
      <w:r>
        <w:rPr>
          <w:rFonts w:hint="eastAsia"/>
          <w:color w:val="auto"/>
        </w:rPr>
        <w:t>2、水泵房设置通风系统，排风量按</w:t>
      </w:r>
      <w:r>
        <w:rPr>
          <w:color w:val="auto"/>
        </w:rPr>
        <w:t>6</w:t>
      </w:r>
      <w:r>
        <w:rPr>
          <w:rFonts w:hint="eastAsia"/>
          <w:color w:val="auto"/>
        </w:rPr>
        <w:t>次/h计算。</w:t>
      </w:r>
    </w:p>
    <w:p>
      <w:pPr>
        <w:bidi w:val="0"/>
        <w:rPr>
          <w:rFonts w:hint="eastAsia"/>
          <w:color w:val="auto"/>
          <w:spacing w:val="-20"/>
          <w:sz w:val="30"/>
        </w:rPr>
      </w:pPr>
      <w:r>
        <w:rPr>
          <w:rFonts w:hint="eastAsia"/>
          <w:color w:val="auto"/>
          <w:spacing w:val="-20"/>
          <w:sz w:val="30"/>
          <w:lang w:val="en-US" w:eastAsia="zh-CN"/>
        </w:rPr>
        <w:t>3</w:t>
      </w:r>
      <w:r>
        <w:rPr>
          <w:rFonts w:hint="eastAsia"/>
          <w:color w:val="auto"/>
          <w:spacing w:val="-20"/>
          <w:sz w:val="30"/>
        </w:rPr>
        <w:t>、配电房设置独立的通风系统，排风量换气次数按1</w:t>
      </w:r>
      <w:r>
        <w:rPr>
          <w:color w:val="auto"/>
          <w:spacing w:val="-20"/>
          <w:sz w:val="30"/>
        </w:rPr>
        <w:t>2</w:t>
      </w:r>
      <w:r>
        <w:rPr>
          <w:rFonts w:hint="eastAsia"/>
          <w:color w:val="auto"/>
          <w:spacing w:val="-20"/>
          <w:sz w:val="30"/>
        </w:rPr>
        <w:t>次/h计算。</w:t>
      </w:r>
    </w:p>
    <w:p>
      <w:pPr>
        <w:bidi w:val="0"/>
        <w:rPr>
          <w:rFonts w:hint="eastAsia" w:ascii="宋体" w:hAnsi="宋体" w:eastAsia="宋体" w:cs="Calibri"/>
          <w:color w:val="auto"/>
          <w:szCs w:val="30"/>
        </w:rPr>
      </w:pPr>
      <w:r>
        <w:rPr>
          <w:rFonts w:hint="eastAsia"/>
          <w:color w:val="auto"/>
          <w:lang w:val="en-US" w:eastAsia="zh-CN"/>
        </w:rPr>
        <w:t>4</w:t>
      </w:r>
      <w:r>
        <w:rPr>
          <w:rFonts w:hint="eastAsia"/>
          <w:color w:val="auto"/>
        </w:rPr>
        <w:t>、建筑物全面排风系统吸风口的布置，应符合下列规定：（1）位于房间上部区域的吸风口，上缘至顶棚平面或屋顶的距离不大于0．4m；（2）用于排出密度大于空气的有害气体时，位于房间下部区域的排风口，下缘至地板距离不大于0．3m；（3）因建筑结构造成有爆炸危险气体排出的死角处，应设置导流设施。</w:t>
      </w:r>
    </w:p>
    <w:p>
      <w:pPr>
        <w:pStyle w:val="3"/>
        <w:bidi w:val="0"/>
        <w:rPr>
          <w:rFonts w:hint="eastAsia"/>
          <w:color w:val="auto"/>
        </w:rPr>
      </w:pPr>
      <w:r>
        <w:rPr>
          <w:rFonts w:hint="eastAsia"/>
          <w:color w:val="auto"/>
        </w:rPr>
        <w:t>机电抗震设计</w:t>
      </w:r>
    </w:p>
    <w:p>
      <w:pPr>
        <w:bidi w:val="0"/>
        <w:rPr>
          <w:rFonts w:hint="eastAsia"/>
          <w:color w:val="auto"/>
        </w:rPr>
      </w:pPr>
      <w:r>
        <w:rPr>
          <w:rFonts w:hint="eastAsia"/>
          <w:color w:val="auto"/>
        </w:rPr>
        <w:t>1、防排烟风道、事故通风风道及相关设备应采用抗震支吊架。</w:t>
      </w:r>
    </w:p>
    <w:p>
      <w:pPr>
        <w:bidi w:val="0"/>
        <w:rPr>
          <w:rFonts w:hint="eastAsia"/>
          <w:color w:val="auto"/>
        </w:rPr>
      </w:pPr>
      <w:r>
        <w:rPr>
          <w:rFonts w:hint="eastAsia"/>
          <w:color w:val="auto"/>
        </w:rPr>
        <w:t>2、重力大于1.8KN的空调设备、风机吊装时应采用抗震支吊架。</w:t>
      </w:r>
    </w:p>
    <w:p>
      <w:pPr>
        <w:bidi w:val="0"/>
        <w:rPr>
          <w:rFonts w:hint="eastAsia"/>
          <w:color w:val="auto"/>
        </w:rPr>
      </w:pPr>
      <w:r>
        <w:rPr>
          <w:rFonts w:hint="eastAsia"/>
          <w:color w:val="auto"/>
        </w:rPr>
        <w:t>3、多根管道共用支吊架或单根管道大于300mm的单根管道,采用门型抗震支吊架。</w:t>
      </w:r>
    </w:p>
    <w:p>
      <w:pPr>
        <w:bidi w:val="0"/>
        <w:rPr>
          <w:rFonts w:hint="eastAsia"/>
          <w:color w:val="auto"/>
        </w:rPr>
      </w:pPr>
      <w:r>
        <w:rPr>
          <w:rFonts w:hint="eastAsia"/>
          <w:color w:val="auto"/>
        </w:rPr>
        <w:t>4、每段水平直管道应在两端设置侧向抗震支吊架,当两个侧向抗震支吊架间距大于最大设计间距时，应在中间增设侧向抗震支吊架；</w:t>
      </w:r>
    </w:p>
    <w:p>
      <w:pPr>
        <w:bidi w:val="0"/>
        <w:rPr>
          <w:rFonts w:hint="eastAsia"/>
          <w:color w:val="auto"/>
        </w:rPr>
      </w:pPr>
      <w:r>
        <w:rPr>
          <w:rFonts w:hint="eastAsia"/>
          <w:color w:val="auto"/>
        </w:rPr>
        <w:t>5、每段水平直管道应至少设置一个纵向抗震支吊架，当两个纵向抗震支吊架间距大于最大设计间距时，应在按规定要求增设纵向抗震支吊架；</w:t>
      </w:r>
    </w:p>
    <w:p>
      <w:pPr>
        <w:bidi w:val="0"/>
        <w:rPr>
          <w:rFonts w:hint="eastAsia"/>
          <w:color w:val="auto"/>
        </w:rPr>
      </w:pPr>
      <w:r>
        <w:rPr>
          <w:rFonts w:hint="eastAsia"/>
          <w:color w:val="auto"/>
        </w:rPr>
        <w:t>6、抗震支吊架的最大间距：</w:t>
      </w:r>
    </w:p>
    <w:tbl>
      <w:tblPr>
        <w:tblStyle w:val="14"/>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40"/>
        <w:gridCol w:w="1519"/>
        <w:gridCol w:w="2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0" w:type="dxa"/>
            <w:vMerge w:val="restart"/>
            <w:noWrap w:val="0"/>
            <w:vAlign w:val="center"/>
          </w:tcPr>
          <w:p>
            <w:pPr>
              <w:pStyle w:val="17"/>
              <w:bidi w:val="0"/>
              <w:jc w:val="center"/>
              <w:rPr>
                <w:color w:val="auto"/>
              </w:rPr>
            </w:pPr>
            <w:r>
              <w:rPr>
                <w:rFonts w:hint="eastAsia"/>
                <w:color w:val="auto"/>
              </w:rPr>
              <w:t>管道类别</w:t>
            </w:r>
          </w:p>
        </w:tc>
        <w:tc>
          <w:tcPr>
            <w:tcW w:w="3701" w:type="dxa"/>
            <w:gridSpan w:val="2"/>
            <w:noWrap w:val="0"/>
            <w:vAlign w:val="center"/>
          </w:tcPr>
          <w:p>
            <w:pPr>
              <w:pStyle w:val="17"/>
              <w:bidi w:val="0"/>
              <w:jc w:val="center"/>
              <w:rPr>
                <w:color w:val="auto"/>
              </w:rPr>
            </w:pPr>
            <w:r>
              <w:rPr>
                <w:rFonts w:hint="eastAsia"/>
                <w:color w:val="auto"/>
              </w:rPr>
              <w:t>抗震支吊架最大间距（m）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0" w:type="dxa"/>
            <w:vMerge w:val="continue"/>
            <w:noWrap w:val="0"/>
            <w:vAlign w:val="center"/>
          </w:tcPr>
          <w:p>
            <w:pPr>
              <w:pStyle w:val="17"/>
              <w:bidi w:val="0"/>
              <w:jc w:val="center"/>
              <w:rPr>
                <w:color w:val="auto"/>
              </w:rPr>
            </w:pPr>
          </w:p>
        </w:tc>
        <w:tc>
          <w:tcPr>
            <w:tcW w:w="1519" w:type="dxa"/>
            <w:noWrap w:val="0"/>
            <w:vAlign w:val="center"/>
          </w:tcPr>
          <w:p>
            <w:pPr>
              <w:pStyle w:val="17"/>
              <w:bidi w:val="0"/>
              <w:jc w:val="center"/>
              <w:rPr>
                <w:color w:val="auto"/>
              </w:rPr>
            </w:pPr>
            <w:r>
              <w:rPr>
                <w:rFonts w:hint="eastAsia"/>
                <w:color w:val="auto"/>
              </w:rPr>
              <w:t>侧向</w:t>
            </w:r>
          </w:p>
        </w:tc>
        <w:tc>
          <w:tcPr>
            <w:tcW w:w="2182" w:type="dxa"/>
            <w:noWrap w:val="0"/>
            <w:vAlign w:val="center"/>
          </w:tcPr>
          <w:p>
            <w:pPr>
              <w:pStyle w:val="17"/>
              <w:bidi w:val="0"/>
              <w:jc w:val="center"/>
              <w:rPr>
                <w:color w:val="auto"/>
              </w:rPr>
            </w:pPr>
            <w:r>
              <w:rPr>
                <w:rFonts w:hint="eastAsia"/>
                <w:color w:val="auto"/>
              </w:rPr>
              <w:t>纵向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0" w:type="dxa"/>
            <w:noWrap w:val="0"/>
            <w:vAlign w:val="center"/>
          </w:tcPr>
          <w:p>
            <w:pPr>
              <w:pStyle w:val="17"/>
              <w:bidi w:val="0"/>
              <w:jc w:val="center"/>
              <w:rPr>
                <w:color w:val="auto"/>
              </w:rPr>
            </w:pPr>
            <w:r>
              <w:rPr>
                <w:rFonts w:hint="eastAsia"/>
                <w:color w:val="auto"/>
              </w:rPr>
              <w:t>新建工程刚性连接金属管道（空调水管）</w:t>
            </w:r>
          </w:p>
        </w:tc>
        <w:tc>
          <w:tcPr>
            <w:tcW w:w="1519" w:type="dxa"/>
            <w:noWrap w:val="0"/>
            <w:vAlign w:val="center"/>
          </w:tcPr>
          <w:p>
            <w:pPr>
              <w:pStyle w:val="17"/>
              <w:bidi w:val="0"/>
              <w:jc w:val="center"/>
              <w:rPr>
                <w:color w:val="auto"/>
              </w:rPr>
            </w:pPr>
            <w:r>
              <w:rPr>
                <w:rFonts w:hint="eastAsia"/>
                <w:color w:val="auto"/>
              </w:rPr>
              <w:t>12.0</w:t>
            </w:r>
          </w:p>
        </w:tc>
        <w:tc>
          <w:tcPr>
            <w:tcW w:w="2182" w:type="dxa"/>
            <w:noWrap w:val="0"/>
            <w:vAlign w:val="center"/>
          </w:tcPr>
          <w:p>
            <w:pPr>
              <w:pStyle w:val="17"/>
              <w:bidi w:val="0"/>
              <w:jc w:val="center"/>
              <w:rPr>
                <w:color w:val="auto"/>
              </w:rPr>
            </w:pPr>
            <w:r>
              <w:rPr>
                <w:rFonts w:hint="eastAsia"/>
                <w:color w:val="auto"/>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40" w:type="dxa"/>
            <w:noWrap w:val="0"/>
            <w:vAlign w:val="center"/>
          </w:tcPr>
          <w:p>
            <w:pPr>
              <w:pStyle w:val="17"/>
              <w:bidi w:val="0"/>
              <w:jc w:val="center"/>
              <w:rPr>
                <w:color w:val="auto"/>
              </w:rPr>
            </w:pPr>
            <w:r>
              <w:rPr>
                <w:rFonts w:hint="eastAsia"/>
                <w:color w:val="auto"/>
              </w:rPr>
              <w:t>新建工程普通刚性材质风管（通风及排烟管道）</w:t>
            </w:r>
          </w:p>
        </w:tc>
        <w:tc>
          <w:tcPr>
            <w:tcW w:w="1519" w:type="dxa"/>
            <w:noWrap w:val="0"/>
            <w:vAlign w:val="center"/>
          </w:tcPr>
          <w:p>
            <w:pPr>
              <w:pStyle w:val="17"/>
              <w:bidi w:val="0"/>
              <w:jc w:val="center"/>
              <w:rPr>
                <w:color w:val="auto"/>
              </w:rPr>
            </w:pPr>
            <w:r>
              <w:rPr>
                <w:rFonts w:hint="eastAsia"/>
                <w:color w:val="auto"/>
              </w:rPr>
              <w:t>9.0</w:t>
            </w:r>
          </w:p>
        </w:tc>
        <w:tc>
          <w:tcPr>
            <w:tcW w:w="2182" w:type="dxa"/>
            <w:noWrap w:val="0"/>
            <w:vAlign w:val="center"/>
          </w:tcPr>
          <w:p>
            <w:pPr>
              <w:pStyle w:val="17"/>
              <w:bidi w:val="0"/>
              <w:jc w:val="center"/>
              <w:rPr>
                <w:color w:val="auto"/>
              </w:rPr>
            </w:pPr>
            <w:r>
              <w:rPr>
                <w:rFonts w:hint="eastAsia"/>
                <w:color w:val="auto"/>
              </w:rPr>
              <w:t>18.0</w:t>
            </w:r>
          </w:p>
        </w:tc>
      </w:tr>
    </w:tbl>
    <w:p>
      <w:pPr>
        <w:bidi w:val="0"/>
        <w:rPr>
          <w:rFonts w:hint="eastAsia"/>
          <w:color w:val="auto"/>
        </w:rPr>
      </w:pPr>
      <w:r>
        <w:rPr>
          <w:rFonts w:hint="eastAsia"/>
          <w:color w:val="auto"/>
        </w:rPr>
        <w:t>7、抗震支吊架的斜撑与吊架的距离不得大于0.1m；</w:t>
      </w:r>
    </w:p>
    <w:p>
      <w:pPr>
        <w:bidi w:val="0"/>
        <w:rPr>
          <w:rFonts w:hint="eastAsia"/>
          <w:color w:val="auto"/>
        </w:rPr>
      </w:pPr>
      <w:r>
        <w:rPr>
          <w:rFonts w:hint="eastAsia"/>
          <w:color w:val="auto"/>
        </w:rPr>
        <w:t>8、管道不应穿过抗震缝。当空调水管必须穿越抗震缝时宜靠近建筑物的下部穿越,且应在抗震缝两边各装一个柔性管接头或在通过抗震缝处安装门形弯头或设置伸缩节;</w:t>
      </w:r>
    </w:p>
    <w:p>
      <w:pPr>
        <w:bidi w:val="0"/>
        <w:rPr>
          <w:rFonts w:hint="eastAsia"/>
          <w:color w:val="auto"/>
        </w:rPr>
      </w:pPr>
      <w:r>
        <w:rPr>
          <w:rFonts w:hint="eastAsia"/>
          <w:color w:val="auto"/>
        </w:rPr>
        <w:t>9、运行时产生振动的风机应设防振基础,且应在基础四周设限位器固定。与其连接的管道应采用柔性连接。</w:t>
      </w:r>
    </w:p>
    <w:p>
      <w:pPr>
        <w:bidi w:val="0"/>
        <w:rPr>
          <w:rFonts w:hint="eastAsia"/>
          <w:color w:val="auto"/>
          <w:lang w:eastAsia="zh-CN"/>
        </w:rPr>
      </w:pPr>
      <w:r>
        <w:rPr>
          <w:rFonts w:hint="eastAsia"/>
          <w:color w:val="auto"/>
        </w:rPr>
        <w:t>10、风管布置敷设应符合GB50981-2014第5.1.3条</w:t>
      </w:r>
      <w:r>
        <w:rPr>
          <w:rFonts w:hint="eastAsia"/>
          <w:color w:val="auto"/>
          <w:lang w:eastAsia="zh-CN"/>
        </w:rPr>
        <w:t>。</w:t>
      </w:r>
    </w:p>
    <w:p>
      <w:pPr>
        <w:bidi w:val="0"/>
        <w:rPr>
          <w:rFonts w:hint="eastAsia"/>
          <w:color w:val="auto"/>
        </w:rPr>
      </w:pPr>
      <w:r>
        <w:rPr>
          <w:rFonts w:hint="eastAsia"/>
          <w:color w:val="auto"/>
        </w:rPr>
        <w:t>11、抗震支吊架安装未尽事宜详GB50981-2014.第8点。</w:t>
      </w:r>
    </w:p>
    <w:p>
      <w:pPr>
        <w:pStyle w:val="3"/>
        <w:bidi w:val="0"/>
        <w:rPr>
          <w:rFonts w:hint="eastAsia"/>
          <w:color w:val="auto"/>
        </w:rPr>
      </w:pPr>
      <w:r>
        <w:rPr>
          <w:rFonts w:hint="eastAsia"/>
          <w:color w:val="auto"/>
        </w:rPr>
        <w:t>节能设计</w:t>
      </w:r>
    </w:p>
    <w:p>
      <w:pPr>
        <w:bidi w:val="0"/>
        <w:rPr>
          <w:rFonts w:hint="eastAsia"/>
          <w:color w:val="auto"/>
        </w:rPr>
      </w:pPr>
      <w:r>
        <w:rPr>
          <w:rFonts w:hint="eastAsia"/>
          <w:color w:val="auto"/>
        </w:rPr>
        <w:t>1、本工程各通风空调设备均选用节能低噪声设备。</w:t>
      </w:r>
    </w:p>
    <w:p>
      <w:pPr>
        <w:bidi w:val="0"/>
        <w:rPr>
          <w:rFonts w:hint="eastAsia"/>
          <w:color w:val="auto"/>
        </w:rPr>
      </w:pPr>
      <w:r>
        <w:rPr>
          <w:rFonts w:hint="eastAsia"/>
          <w:color w:val="auto"/>
        </w:rPr>
        <w:t>2、设计有条件采用自然通风的，尽量利用自然通风方式。</w:t>
      </w:r>
    </w:p>
    <w:p>
      <w:pPr>
        <w:bidi w:val="0"/>
        <w:rPr>
          <w:rFonts w:hint="eastAsia"/>
          <w:color w:val="auto"/>
        </w:rPr>
      </w:pPr>
      <w:r>
        <w:rPr>
          <w:rFonts w:hint="eastAsia"/>
          <w:color w:val="auto"/>
        </w:rPr>
        <w:t>3、通风系统风机的单位风量耗功率满足节能规范不大于0.27W/（</w:t>
      </w:r>
      <w:r>
        <w:rPr>
          <w:rFonts w:hint="eastAsia"/>
          <w:color w:val="auto"/>
          <w:lang w:val="en-US" w:eastAsia="zh-CN"/>
        </w:rPr>
        <w:t>3</w:t>
      </w:r>
      <w:r>
        <w:rPr>
          <w:rFonts w:hint="eastAsia"/>
          <w:color w:val="auto"/>
        </w:rPr>
        <w:t>/h）的要求。风机效率不低于现行国家标准《通风机能效限定值及能效等级》GB19761规定的通风机能效等级的2级。</w:t>
      </w:r>
    </w:p>
    <w:p>
      <w:pPr>
        <w:bidi w:val="0"/>
        <w:rPr>
          <w:rFonts w:hint="eastAsia"/>
          <w:color w:val="auto"/>
          <w:lang w:val="en-US" w:eastAsia="zh-CN"/>
        </w:rPr>
      </w:pPr>
      <w:r>
        <w:rPr>
          <w:rFonts w:hint="eastAsia"/>
          <w:color w:val="auto"/>
          <w:lang w:val="en-US" w:eastAsia="zh-CN"/>
        </w:rPr>
        <w:t>4、本工程的空调系统由业主自理，分体空调能效比应满足规范《房间空气调节器能效限定值及能效等级》GB21455-2019规定的二级及以上能效指标。分体空调能效应满足《建筑节能与可再生能源利用通用规范》GB55015-2021表3.2.14的要求。</w:t>
      </w:r>
    </w:p>
    <w:p>
      <w:pPr>
        <w:bidi w:val="0"/>
        <w:rPr>
          <w:rFonts w:hint="eastAsia"/>
          <w:color w:val="auto"/>
        </w:rPr>
      </w:pPr>
      <w:r>
        <w:rPr>
          <w:rFonts w:hint="eastAsia"/>
          <w:color w:val="auto"/>
          <w:lang w:val="en-US" w:eastAsia="zh-CN"/>
        </w:rPr>
        <w:t>5、采用风冷多联式空调（热泵）机组时，其在名义制冷工况和规定条件下的能效（APF值）比不应低于规范GB55015-2021表3.2.12-2的数值。</w:t>
      </w:r>
    </w:p>
    <w:p>
      <w:pPr>
        <w:pStyle w:val="3"/>
        <w:bidi w:val="0"/>
        <w:rPr>
          <w:rFonts w:hint="eastAsia"/>
          <w:color w:val="auto"/>
        </w:rPr>
      </w:pPr>
      <w:r>
        <w:rPr>
          <w:rFonts w:hint="eastAsia"/>
          <w:color w:val="auto"/>
        </w:rPr>
        <w:t>消声、减振</w:t>
      </w:r>
    </w:p>
    <w:p>
      <w:pPr>
        <w:bidi w:val="0"/>
        <w:rPr>
          <w:rFonts w:hint="eastAsia"/>
          <w:color w:val="auto"/>
        </w:rPr>
      </w:pPr>
      <w:r>
        <w:rPr>
          <w:rFonts w:hint="eastAsia"/>
          <w:color w:val="auto"/>
        </w:rPr>
        <w:t>1消声：选用低噪声、振动小的设备，对噪音较大设备，采用隔声、消声处理，具体措施为设置设备用房，机房墙壁贴吸音板。</w:t>
      </w:r>
    </w:p>
    <w:p>
      <w:pPr>
        <w:bidi w:val="0"/>
        <w:rPr>
          <w:rFonts w:hint="eastAsia"/>
          <w:color w:val="auto"/>
        </w:rPr>
      </w:pPr>
      <w:r>
        <w:rPr>
          <w:rFonts w:hint="eastAsia"/>
          <w:color w:val="auto"/>
        </w:rPr>
        <w:t>2隔振：落地安装振动设备加设减振橡胶或弹簧减振器，设备与管道连接采用柔性接头。</w:t>
      </w:r>
    </w:p>
    <w:p>
      <w:pPr>
        <w:bidi w:val="0"/>
        <w:rPr>
          <w:rFonts w:hint="eastAsia"/>
          <w:color w:val="auto"/>
        </w:rPr>
      </w:pPr>
      <w:r>
        <w:rPr>
          <w:rFonts w:hint="eastAsia"/>
          <w:color w:val="auto"/>
        </w:rPr>
        <w:t>3合理设置进风口、排风口位置，避免排风对新风风源造成污染。</w:t>
      </w:r>
    </w:p>
    <w:p>
      <w:pPr>
        <w:pStyle w:val="2"/>
        <w:bidi w:val="0"/>
        <w:rPr>
          <w:rFonts w:hint="eastAsia"/>
          <w:color w:val="auto"/>
          <w:lang w:val="en-US" w:eastAsia="zh-CN"/>
        </w:rPr>
      </w:pPr>
      <w:r>
        <w:rPr>
          <w:rFonts w:hint="default"/>
          <w:color w:val="auto"/>
          <w:lang w:val="en-US" w:eastAsia="zh-CN"/>
        </w:rPr>
        <w:br w:type="column"/>
      </w:r>
      <w:bookmarkStart w:id="32" w:name="_Toc22858"/>
      <w:bookmarkStart w:id="33" w:name="_Toc21142"/>
      <w:bookmarkStart w:id="34" w:name="_Toc30319"/>
      <w:r>
        <w:rPr>
          <w:rFonts w:hint="eastAsia"/>
          <w:color w:val="auto"/>
          <w:lang w:val="en-US" w:eastAsia="zh-CN"/>
        </w:rPr>
        <w:t>装配式设计</w:t>
      </w:r>
      <w:bookmarkEnd w:id="32"/>
      <w:bookmarkEnd w:id="33"/>
      <w:bookmarkEnd w:id="34"/>
      <w:r>
        <w:rPr>
          <w:rFonts w:hint="eastAsia"/>
          <w:color w:val="auto"/>
          <w:lang w:val="en-US" w:eastAsia="zh-CN"/>
        </w:rPr>
        <w:t>说明</w:t>
      </w:r>
    </w:p>
    <w:p>
      <w:pPr>
        <w:pStyle w:val="3"/>
        <w:bidi w:val="0"/>
        <w:rPr>
          <w:color w:val="auto"/>
          <w:lang w:eastAsia="en-US"/>
        </w:rPr>
      </w:pPr>
      <w:r>
        <w:rPr>
          <w:color w:val="auto"/>
          <w:lang w:eastAsia="en-US"/>
        </w:rPr>
        <w:t>设计依据</w:t>
      </w:r>
    </w:p>
    <w:p>
      <w:pPr>
        <w:bidi w:val="0"/>
        <w:rPr>
          <w:color w:val="auto"/>
          <w:lang w:eastAsia="en-US"/>
        </w:rPr>
      </w:pPr>
      <w:r>
        <w:rPr>
          <w:color w:val="auto"/>
          <w:lang w:eastAsia="en-US"/>
        </w:rPr>
        <w:t>1、用地规划条件及相应批文</w:t>
      </w:r>
    </w:p>
    <w:p>
      <w:pPr>
        <w:bidi w:val="0"/>
        <w:rPr>
          <w:color w:val="auto"/>
          <w:lang w:eastAsia="en-US"/>
        </w:rPr>
      </w:pPr>
      <w:r>
        <w:rPr>
          <w:color w:val="auto"/>
          <w:lang w:eastAsia="en-US"/>
        </w:rPr>
        <w:t>2、关于进一步推进装配式建筑工作的通知（益建发〔2021〕29号）</w:t>
      </w:r>
    </w:p>
    <w:p>
      <w:pPr>
        <w:bidi w:val="0"/>
        <w:rPr>
          <w:color w:val="auto"/>
          <w:lang w:eastAsia="en-US"/>
        </w:rPr>
      </w:pPr>
      <w:r>
        <w:rPr>
          <w:color w:val="auto"/>
          <w:lang w:eastAsia="en-US"/>
        </w:rPr>
        <w:t>3、湖南省住房和城乡建设厅关于印发《&lt;湖南省装配式建筑评价标准&gt;补充规定》的通知（湘建科〔2019〕158号）</w:t>
      </w:r>
    </w:p>
    <w:p>
      <w:pPr>
        <w:bidi w:val="0"/>
        <w:rPr>
          <w:color w:val="auto"/>
          <w:lang w:eastAsia="en-US"/>
        </w:rPr>
      </w:pPr>
      <w:r>
        <w:rPr>
          <w:color w:val="auto"/>
          <w:lang w:eastAsia="en-US"/>
        </w:rPr>
        <w:t>4、《装配式混凝土结构技术规程》JGJ1-2014</w:t>
      </w:r>
    </w:p>
    <w:p>
      <w:pPr>
        <w:bidi w:val="0"/>
        <w:rPr>
          <w:color w:val="auto"/>
          <w:lang w:eastAsia="en-US"/>
        </w:rPr>
      </w:pPr>
      <w:r>
        <w:rPr>
          <w:color w:val="auto"/>
          <w:lang w:eastAsia="en-US"/>
        </w:rPr>
        <w:t>5、《装配式混凝土建筑技术标准》GB/T51231-2016</w:t>
      </w:r>
    </w:p>
    <w:p>
      <w:pPr>
        <w:bidi w:val="0"/>
        <w:rPr>
          <w:color w:val="auto"/>
          <w:lang w:eastAsia="en-US"/>
        </w:rPr>
      </w:pPr>
      <w:r>
        <w:rPr>
          <w:color w:val="auto"/>
          <w:lang w:eastAsia="en-US"/>
        </w:rPr>
        <w:t>6、《装配式建筑评价标准》GB/T51129-2017</w:t>
      </w:r>
    </w:p>
    <w:p>
      <w:pPr>
        <w:bidi w:val="0"/>
        <w:rPr>
          <w:color w:val="auto"/>
          <w:lang w:eastAsia="en-US"/>
        </w:rPr>
      </w:pPr>
      <w:r>
        <w:rPr>
          <w:color w:val="auto"/>
          <w:lang w:eastAsia="en-US"/>
        </w:rPr>
        <w:t>7、《湖南省装配式建筑评价标准》DBJ43/T542-2022</w:t>
      </w:r>
    </w:p>
    <w:p>
      <w:pPr>
        <w:bidi w:val="0"/>
        <w:rPr>
          <w:color w:val="auto"/>
          <w:lang w:eastAsia="en-US"/>
        </w:rPr>
      </w:pPr>
      <w:r>
        <w:rPr>
          <w:color w:val="auto"/>
          <w:lang w:eastAsia="en-US"/>
        </w:rPr>
        <w:t>8、《建筑结构荷载规范》(GB50009-2012)；</w:t>
      </w:r>
    </w:p>
    <w:p>
      <w:pPr>
        <w:bidi w:val="0"/>
        <w:rPr>
          <w:color w:val="auto"/>
          <w:lang w:eastAsia="en-US"/>
        </w:rPr>
      </w:pPr>
      <w:r>
        <w:rPr>
          <w:color w:val="auto"/>
          <w:lang w:eastAsia="en-US"/>
        </w:rPr>
        <w:t>9、《混凝土结构设计规范》(GB50010-2010)(2015版)；</w:t>
      </w:r>
    </w:p>
    <w:p>
      <w:pPr>
        <w:bidi w:val="0"/>
        <w:rPr>
          <w:color w:val="auto"/>
          <w:lang w:eastAsia="en-US"/>
        </w:rPr>
      </w:pPr>
      <w:r>
        <w:rPr>
          <w:color w:val="auto"/>
          <w:lang w:eastAsia="en-US"/>
        </w:rPr>
        <w:t>10、《建筑抗震设计规范》(GB50011-2010)（2016版）；</w:t>
      </w:r>
    </w:p>
    <w:p>
      <w:pPr>
        <w:bidi w:val="0"/>
        <w:rPr>
          <w:color w:val="auto"/>
          <w:lang w:eastAsia="en-US"/>
        </w:rPr>
      </w:pPr>
      <w:r>
        <w:rPr>
          <w:color w:val="auto"/>
          <w:lang w:eastAsia="en-US"/>
        </w:rPr>
        <w:t>11、《混凝土结构耐久性设计规范》(GB/T50476-2008)；</w:t>
      </w:r>
    </w:p>
    <w:p>
      <w:pPr>
        <w:bidi w:val="0"/>
        <w:rPr>
          <w:color w:val="auto"/>
          <w:lang w:eastAsia="en-US"/>
        </w:rPr>
      </w:pPr>
      <w:r>
        <w:rPr>
          <w:color w:val="auto"/>
          <w:lang w:eastAsia="en-US"/>
        </w:rPr>
        <w:t>12、《混凝土结构工程施工质量验收规范》(GB50204-2015)；</w:t>
      </w:r>
    </w:p>
    <w:p>
      <w:pPr>
        <w:bidi w:val="0"/>
        <w:rPr>
          <w:color w:val="auto"/>
          <w:lang w:val="en-US" w:eastAsia="en-US"/>
        </w:rPr>
      </w:pPr>
      <w:r>
        <w:rPr>
          <w:color w:val="auto"/>
          <w:lang w:eastAsia="en-US"/>
        </w:rPr>
        <w:t>13、《钢筋机械连接技术规程》JGJ107-2016；</w:t>
      </w:r>
    </w:p>
    <w:p>
      <w:pPr>
        <w:bidi w:val="0"/>
        <w:rPr>
          <w:color w:val="auto"/>
          <w:lang w:eastAsia="en-US"/>
        </w:rPr>
      </w:pPr>
      <w:r>
        <w:rPr>
          <w:color w:val="auto"/>
          <w:lang w:eastAsia="en-US"/>
        </w:rPr>
        <w:t>14、《混凝土建筑接缝用密封胶》(JC/T881)；</w:t>
      </w:r>
    </w:p>
    <w:p>
      <w:pPr>
        <w:bidi w:val="0"/>
        <w:rPr>
          <w:color w:val="auto"/>
          <w:lang w:eastAsia="en-US"/>
        </w:rPr>
      </w:pPr>
      <w:r>
        <w:rPr>
          <w:color w:val="auto"/>
          <w:lang w:eastAsia="en-US"/>
        </w:rPr>
        <w:t>15、《混凝土结构施工图平面整体表示方法制图规则和构造详图(现浇混凝土框架、剪力墙、梁、板)》(16G101-1)；</w:t>
      </w:r>
    </w:p>
    <w:p>
      <w:pPr>
        <w:bidi w:val="0"/>
        <w:rPr>
          <w:color w:val="auto"/>
          <w:lang w:eastAsia="en-US"/>
        </w:rPr>
      </w:pPr>
      <w:r>
        <w:rPr>
          <w:color w:val="auto"/>
          <w:lang w:eastAsia="en-US"/>
        </w:rPr>
        <w:t>16、《建筑物抗震构造详图(多层和高层钢筋混凝土房屋)》(11G329-1)；</w:t>
      </w:r>
    </w:p>
    <w:p>
      <w:pPr>
        <w:bidi w:val="0"/>
        <w:rPr>
          <w:color w:val="auto"/>
          <w:lang w:eastAsia="en-US"/>
        </w:rPr>
      </w:pPr>
      <w:r>
        <w:rPr>
          <w:color w:val="auto"/>
          <w:lang w:eastAsia="en-US"/>
        </w:rPr>
        <w:t>17、建设方对本项目提出的设计任务书。</w:t>
      </w:r>
    </w:p>
    <w:p>
      <w:pPr>
        <w:bidi w:val="0"/>
        <w:rPr>
          <w:color w:val="auto"/>
          <w:lang w:eastAsia="en-US"/>
        </w:rPr>
      </w:pPr>
      <w:r>
        <w:rPr>
          <w:color w:val="auto"/>
          <w:lang w:eastAsia="en-US"/>
        </w:rPr>
        <w:t>18、其他相关标准和政策文件</w:t>
      </w:r>
    </w:p>
    <w:p>
      <w:pPr>
        <w:pStyle w:val="3"/>
        <w:bidi w:val="0"/>
        <w:rPr>
          <w:color w:val="auto"/>
          <w:lang w:eastAsia="en-US"/>
        </w:rPr>
      </w:pPr>
      <w:r>
        <w:rPr>
          <w:color w:val="auto"/>
          <w:lang w:eastAsia="en-US"/>
        </w:rPr>
        <w:t>设计理念</w:t>
      </w:r>
    </w:p>
    <w:p>
      <w:pPr>
        <w:bidi w:val="0"/>
        <w:rPr>
          <w:color w:val="auto"/>
          <w:lang w:eastAsia="en-US"/>
        </w:rPr>
      </w:pPr>
      <w:r>
        <w:rPr>
          <w:color w:val="auto"/>
          <w:lang w:eastAsia="en-US"/>
        </w:rPr>
        <w:t>贯彻安全、适用、经济、美观的设计原则，做到技术先进、功能合理、优质高效。确保工程质量，充分发挥建筑工业化的优越性，促进建筑产业现代化的发展。体现以人为本、可持续发展以及节能、节地、节材、节水的指导思想，考虑环境保护要求，并满足项目的特殊使用要求。装配式建筑设计采用模数化、标准化、系列化的设计方法，遵循少规格、多组合的设计原则。</w:t>
      </w:r>
    </w:p>
    <w:p>
      <w:pPr>
        <w:bidi w:val="0"/>
        <w:rPr>
          <w:color w:val="auto"/>
          <w:lang w:eastAsia="en-US"/>
        </w:rPr>
      </w:pPr>
      <w:r>
        <w:rPr>
          <w:color w:val="auto"/>
          <w:lang w:eastAsia="en-US"/>
        </w:rPr>
        <w:t>尽量采用标准化的单元，柱网的规格尺寸力求统一以实现预制构件的标准化。</w:t>
      </w:r>
    </w:p>
    <w:p>
      <w:pPr>
        <w:pStyle w:val="3"/>
        <w:bidi w:val="0"/>
        <w:rPr>
          <w:color w:val="auto"/>
          <w:lang w:eastAsia="en-US"/>
        </w:rPr>
      </w:pPr>
      <w:r>
        <w:rPr>
          <w:color w:val="auto"/>
          <w:lang w:eastAsia="en-US"/>
        </w:rPr>
        <w:t>装配式建筑设计方案</w:t>
      </w:r>
    </w:p>
    <w:p>
      <w:pPr>
        <w:pStyle w:val="4"/>
        <w:bidi w:val="0"/>
        <w:rPr>
          <w:color w:val="auto"/>
          <w:lang w:eastAsia="en-US"/>
        </w:rPr>
      </w:pPr>
      <w:r>
        <w:rPr>
          <w:color w:val="auto"/>
          <w:lang w:eastAsia="en-US"/>
        </w:rPr>
        <w:t>装配式建筑指标计算方法</w:t>
      </w:r>
    </w:p>
    <w:p>
      <w:pPr>
        <w:bidi w:val="0"/>
        <w:rPr>
          <w:color w:val="auto"/>
          <w:lang w:eastAsia="en-US"/>
        </w:rPr>
      </w:pPr>
      <w:r>
        <w:rPr>
          <w:color w:val="auto"/>
          <w:lang w:eastAsia="en-US"/>
        </w:rPr>
        <w:t>根据湖南省《湖南省装配式建筑评价标准》的第4.0.1条的规定内容，可知：装配率应根据表4.0.1中评价项分值按下式计算：</w:t>
      </w:r>
    </w:p>
    <w:p>
      <w:pPr>
        <w:bidi w:val="0"/>
        <w:rPr>
          <w:color w:val="auto"/>
          <w:lang w:eastAsia="en-US"/>
        </w:rPr>
      </w:pPr>
      <w:r>
        <w:rPr>
          <w:color w:val="auto"/>
          <w:lang w:eastAsia="en-US"/>
        </w:rPr>
        <w:t>P(Q1+Q2+Q3+Q4+Q5)/(100-Q6)</w:t>
      </w:r>
    </w:p>
    <w:p>
      <w:pPr>
        <w:bidi w:val="0"/>
        <w:rPr>
          <w:color w:val="auto"/>
          <w:lang w:eastAsia="en-US"/>
        </w:rPr>
      </w:pPr>
      <w:r>
        <w:rPr>
          <w:color w:val="auto"/>
          <w:lang w:eastAsia="en-US"/>
        </w:rPr>
        <w:t>式中：P-装配率；</w:t>
      </w:r>
    </w:p>
    <w:p>
      <w:pPr>
        <w:bidi w:val="0"/>
        <w:rPr>
          <w:color w:val="auto"/>
          <w:lang w:eastAsia="en-US"/>
        </w:rPr>
      </w:pPr>
      <w:r>
        <w:rPr>
          <w:color w:val="auto"/>
          <w:lang w:eastAsia="en-US"/>
        </w:rPr>
        <w:t>Q1-主体结构评价项实际得分值；</w:t>
      </w:r>
    </w:p>
    <w:p>
      <w:pPr>
        <w:bidi w:val="0"/>
        <w:rPr>
          <w:color w:val="auto"/>
          <w:lang w:eastAsia="en-US"/>
        </w:rPr>
      </w:pPr>
      <w:r>
        <w:rPr>
          <w:color w:val="auto"/>
          <w:lang w:eastAsia="en-US"/>
        </w:rPr>
        <w:t>Q2-围护墙和内隔墙评价项实际得分值；</w:t>
      </w:r>
    </w:p>
    <w:p>
      <w:pPr>
        <w:bidi w:val="0"/>
        <w:rPr>
          <w:color w:val="auto"/>
          <w:lang w:eastAsia="en-US"/>
        </w:rPr>
      </w:pPr>
      <w:r>
        <w:rPr>
          <w:color w:val="auto"/>
          <w:lang w:eastAsia="en-US"/>
        </w:rPr>
        <w:t>Q3-装修和设备管线评价项实际得分值；</w:t>
      </w:r>
    </w:p>
    <w:p>
      <w:pPr>
        <w:bidi w:val="0"/>
        <w:rPr>
          <w:color w:val="auto"/>
          <w:lang w:eastAsia="en-US"/>
        </w:rPr>
      </w:pPr>
      <w:r>
        <w:rPr>
          <w:color w:val="auto"/>
          <w:lang w:eastAsia="en-US"/>
        </w:rPr>
        <w:t>Q4-标准化、信息化、智能化评价项实际得分值；</w:t>
      </w:r>
    </w:p>
    <w:p>
      <w:pPr>
        <w:bidi w:val="0"/>
        <w:rPr>
          <w:color w:val="auto"/>
          <w:lang w:eastAsia="en-US"/>
        </w:rPr>
      </w:pPr>
      <w:r>
        <w:rPr>
          <w:color w:val="auto"/>
          <w:lang w:eastAsia="en-US"/>
        </w:rPr>
        <w:t>Q5-加分评价项实际得分值；</w:t>
      </w:r>
    </w:p>
    <w:p>
      <w:pPr>
        <w:bidi w:val="0"/>
        <w:rPr>
          <w:color w:val="auto"/>
          <w:lang w:eastAsia="en-US"/>
        </w:rPr>
      </w:pPr>
      <w:r>
        <w:rPr>
          <w:color w:val="auto"/>
          <w:lang w:eastAsia="en-US"/>
        </w:rPr>
        <w:t>Q6-评价项目中缺少的评价项分值总和；</w:t>
      </w:r>
    </w:p>
    <w:p>
      <w:pPr>
        <w:pStyle w:val="4"/>
        <w:bidi w:val="0"/>
        <w:rPr>
          <w:color w:val="auto"/>
          <w:lang w:eastAsia="en-US"/>
        </w:rPr>
      </w:pPr>
      <w:r>
        <w:rPr>
          <w:color w:val="auto"/>
          <w:lang w:eastAsia="en-US"/>
        </w:rPr>
        <w:t>装配式建筑实施方案</w:t>
      </w:r>
    </w:p>
    <w:p>
      <w:pPr>
        <w:bidi w:val="0"/>
        <w:rPr>
          <w:color w:val="auto"/>
          <w:lang w:eastAsia="en-US"/>
        </w:rPr>
      </w:pPr>
      <w:r>
        <w:rPr>
          <w:color w:val="auto"/>
          <w:lang w:eastAsia="en-US"/>
        </w:rPr>
        <w:t>本项目只对工业建筑</w:t>
      </w:r>
      <w:r>
        <w:rPr>
          <w:rFonts w:hint="eastAsia"/>
          <w:color w:val="auto"/>
          <w:lang w:val="en-US" w:eastAsia="zh-CN"/>
        </w:rPr>
        <w:t>厂房</w:t>
      </w:r>
      <w:r>
        <w:rPr>
          <w:color w:val="auto"/>
          <w:lang w:eastAsia="en-US"/>
        </w:rPr>
        <w:t>、办公</w:t>
      </w:r>
      <w:r>
        <w:rPr>
          <w:rFonts w:hint="eastAsia"/>
          <w:color w:val="auto"/>
          <w:lang w:val="en-US" w:eastAsia="zh-CN"/>
        </w:rPr>
        <w:t>楼、宿舍楼</w:t>
      </w:r>
      <w:r>
        <w:rPr>
          <w:color w:val="auto"/>
          <w:lang w:eastAsia="en-US"/>
        </w:rPr>
        <w:t>做装配式建筑要求，其他附属建筑消防泵房、消防水池、门卫室</w:t>
      </w:r>
      <w:r>
        <w:rPr>
          <w:rFonts w:hint="eastAsia"/>
          <w:color w:val="auto"/>
          <w:lang w:eastAsia="zh-CN"/>
        </w:rPr>
        <w:t>、</w:t>
      </w:r>
      <w:r>
        <w:rPr>
          <w:rFonts w:hint="eastAsia"/>
          <w:color w:val="auto"/>
          <w:lang w:val="en-US" w:eastAsia="zh-CN"/>
        </w:rPr>
        <w:t>垃圾站</w:t>
      </w:r>
      <w:r>
        <w:rPr>
          <w:color w:val="auto"/>
          <w:lang w:eastAsia="en-US"/>
        </w:rPr>
        <w:t>对装配式不做要求。根据</w:t>
      </w:r>
      <w:r>
        <w:rPr>
          <w:rFonts w:hint="eastAsia"/>
          <w:color w:val="auto"/>
          <w:lang w:val="en-US" w:eastAsia="zh-CN"/>
        </w:rPr>
        <w:t>项目的</w:t>
      </w:r>
      <w:r>
        <w:rPr>
          <w:color w:val="auto"/>
          <w:lang w:eastAsia="en-US"/>
        </w:rPr>
        <w:t>特殊情况，我院提出的具体方案为：</w:t>
      </w:r>
      <w:r>
        <w:rPr>
          <w:rFonts w:hint="eastAsia"/>
          <w:color w:val="auto"/>
          <w:lang w:val="en-US" w:eastAsia="zh-CN"/>
        </w:rPr>
        <w:t>厂房</w:t>
      </w:r>
      <w:r>
        <w:rPr>
          <w:color w:val="auto"/>
          <w:lang w:eastAsia="en-US"/>
        </w:rPr>
        <w:t>装配式建筑面积比例由50%调整为30%，办公</w:t>
      </w:r>
      <w:r>
        <w:rPr>
          <w:rFonts w:hint="eastAsia"/>
          <w:color w:val="auto"/>
          <w:lang w:val="en-US" w:eastAsia="zh-CN"/>
        </w:rPr>
        <w:t>楼、宿舍楼按</w:t>
      </w:r>
      <w:r>
        <w:rPr>
          <w:color w:val="auto"/>
          <w:lang w:eastAsia="en-US"/>
        </w:rPr>
        <w:t>50%执行。</w:t>
      </w:r>
    </w:p>
    <w:p>
      <w:pPr>
        <w:bidi w:val="0"/>
        <w:rPr>
          <w:color w:val="auto"/>
          <w:lang w:eastAsia="en-US"/>
        </w:rPr>
      </w:pPr>
      <w:r>
        <w:rPr>
          <w:color w:val="auto"/>
          <w:lang w:eastAsia="en-US"/>
        </w:rPr>
        <w:t>1、</w:t>
      </w:r>
      <w:r>
        <w:rPr>
          <w:rFonts w:hint="eastAsia"/>
          <w:color w:val="auto"/>
          <w:lang w:val="en-US" w:eastAsia="zh-CN"/>
        </w:rPr>
        <w:t>厂房</w:t>
      </w:r>
      <w:r>
        <w:rPr>
          <w:color w:val="auto"/>
          <w:lang w:eastAsia="en-US"/>
        </w:rPr>
        <w:t>属工业建筑</w:t>
      </w:r>
    </w:p>
    <w:p>
      <w:pPr>
        <w:bidi w:val="0"/>
        <w:rPr>
          <w:color w:val="auto"/>
          <w:lang w:eastAsia="en-US"/>
        </w:rPr>
      </w:pPr>
      <w:r>
        <w:rPr>
          <w:color w:val="auto"/>
          <w:lang w:eastAsia="en-US"/>
        </w:rPr>
        <w:t>（1）梁、屋面板、楼梯、阳台、空调板等水平构件采用预制构件（比例为80%）；</w:t>
      </w:r>
    </w:p>
    <w:p>
      <w:pPr>
        <w:bidi w:val="0"/>
        <w:rPr>
          <w:color w:val="auto"/>
          <w:lang w:eastAsia="en-US"/>
        </w:rPr>
      </w:pPr>
      <w:r>
        <w:rPr>
          <w:color w:val="auto"/>
          <w:lang w:eastAsia="en-US"/>
        </w:rPr>
        <w:t>（2）采用全装修；</w:t>
      </w:r>
    </w:p>
    <w:p>
      <w:pPr>
        <w:bidi w:val="0"/>
        <w:rPr>
          <w:color w:val="auto"/>
          <w:lang w:eastAsia="en-US"/>
        </w:rPr>
      </w:pPr>
      <w:r>
        <w:rPr>
          <w:color w:val="auto"/>
          <w:lang w:eastAsia="en-US"/>
        </w:rPr>
        <w:t>（3）采用工程总承包。</w:t>
      </w:r>
    </w:p>
    <w:p>
      <w:pPr>
        <w:bidi w:val="0"/>
        <w:rPr>
          <w:color w:val="auto"/>
          <w:lang w:eastAsia="en-US"/>
        </w:rPr>
      </w:pPr>
      <w:r>
        <w:rPr>
          <w:color w:val="auto"/>
          <w:lang w:eastAsia="en-US"/>
        </w:rPr>
        <w:t>拟采用的装配式技术配置项如下表所示：</w:t>
      </w:r>
    </w:p>
    <w:p>
      <w:pPr>
        <w:pStyle w:val="17"/>
        <w:bidi w:val="0"/>
        <w:rPr>
          <w:color w:val="auto"/>
          <w:lang w:eastAsia="en-US"/>
        </w:rPr>
      </w:pPr>
      <w:r>
        <w:rPr>
          <w:rFonts w:hint="eastAsia"/>
          <w:color w:val="auto"/>
          <w:lang w:val="en-US" w:eastAsia="zh-CN"/>
        </w:rPr>
        <w:t>厂房</w:t>
      </w:r>
      <w:r>
        <w:rPr>
          <w:color w:val="auto"/>
          <w:lang w:eastAsia="en-US"/>
        </w:rPr>
        <w:t>装配率计算评价表</w:t>
      </w:r>
    </w:p>
    <w:tbl>
      <w:tblPr>
        <w:tblStyle w:val="1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10"/>
        <w:gridCol w:w="1516"/>
        <w:gridCol w:w="1389"/>
        <w:gridCol w:w="1435"/>
        <w:gridCol w:w="1157"/>
        <w:gridCol w:w="744"/>
        <w:gridCol w:w="744"/>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2083" w:type="pct"/>
            <w:gridSpan w:val="3"/>
            <w:vAlign w:val="center"/>
          </w:tcPr>
          <w:p>
            <w:pPr>
              <w:pStyle w:val="17"/>
              <w:bidi w:val="0"/>
              <w:rPr>
                <w:rFonts w:hint="eastAsia"/>
                <w:color w:val="auto"/>
              </w:rPr>
            </w:pPr>
            <w:r>
              <w:rPr>
                <w:rFonts w:hint="eastAsia"/>
                <w:color w:val="auto"/>
              </w:rPr>
              <w:t>评价项</w:t>
            </w:r>
          </w:p>
        </w:tc>
        <w:tc>
          <w:tcPr>
            <w:tcW w:w="805" w:type="pct"/>
            <w:vAlign w:val="center"/>
          </w:tcPr>
          <w:p>
            <w:pPr>
              <w:pStyle w:val="17"/>
              <w:bidi w:val="0"/>
              <w:rPr>
                <w:rFonts w:hint="eastAsia"/>
                <w:color w:val="auto"/>
              </w:rPr>
            </w:pPr>
            <w:r>
              <w:rPr>
                <w:rFonts w:hint="eastAsia"/>
                <w:color w:val="auto"/>
              </w:rPr>
              <w:t>评价要求</w:t>
            </w:r>
          </w:p>
        </w:tc>
        <w:tc>
          <w:tcPr>
            <w:tcW w:w="649" w:type="pct"/>
            <w:vAlign w:val="center"/>
          </w:tcPr>
          <w:p>
            <w:pPr>
              <w:pStyle w:val="17"/>
              <w:bidi w:val="0"/>
              <w:rPr>
                <w:rFonts w:hint="eastAsia"/>
                <w:color w:val="auto"/>
              </w:rPr>
            </w:pPr>
            <w:r>
              <w:rPr>
                <w:rFonts w:hint="eastAsia"/>
                <w:color w:val="auto"/>
              </w:rPr>
              <w:t>评价</w:t>
            </w:r>
          </w:p>
          <w:p>
            <w:pPr>
              <w:pStyle w:val="17"/>
              <w:bidi w:val="0"/>
              <w:rPr>
                <w:rFonts w:hint="eastAsia"/>
                <w:color w:val="auto"/>
              </w:rPr>
            </w:pPr>
            <w:r>
              <w:rPr>
                <w:rFonts w:hint="eastAsia"/>
                <w:color w:val="auto"/>
              </w:rPr>
              <w:t>分值</w:t>
            </w:r>
          </w:p>
        </w:tc>
        <w:tc>
          <w:tcPr>
            <w:tcW w:w="417" w:type="pct"/>
            <w:vAlign w:val="center"/>
          </w:tcPr>
          <w:p>
            <w:pPr>
              <w:pStyle w:val="17"/>
              <w:bidi w:val="0"/>
              <w:rPr>
                <w:rFonts w:hint="eastAsia"/>
                <w:color w:val="auto"/>
              </w:rPr>
            </w:pPr>
            <w:r>
              <w:rPr>
                <w:rFonts w:hint="eastAsia"/>
                <w:color w:val="auto"/>
              </w:rPr>
              <w:t>最低分值</w:t>
            </w:r>
          </w:p>
        </w:tc>
        <w:tc>
          <w:tcPr>
            <w:tcW w:w="417" w:type="pct"/>
            <w:vAlign w:val="center"/>
          </w:tcPr>
          <w:p>
            <w:pPr>
              <w:pStyle w:val="17"/>
              <w:bidi w:val="0"/>
              <w:rPr>
                <w:rFonts w:hint="eastAsia"/>
                <w:color w:val="auto"/>
              </w:rPr>
            </w:pPr>
            <w:r>
              <w:rPr>
                <w:rFonts w:hint="eastAsia"/>
                <w:color w:val="auto"/>
              </w:rPr>
              <w:t>评价比例</w:t>
            </w:r>
          </w:p>
        </w:tc>
        <w:tc>
          <w:tcPr>
            <w:tcW w:w="626" w:type="pct"/>
            <w:vAlign w:val="center"/>
          </w:tcPr>
          <w:p>
            <w:pPr>
              <w:pStyle w:val="17"/>
              <w:bidi w:val="0"/>
              <w:rPr>
                <w:rFonts w:hint="eastAsia"/>
                <w:color w:val="auto"/>
              </w:rPr>
            </w:pPr>
            <w:r>
              <w:rPr>
                <w:rFonts w:hint="eastAsia"/>
                <w:color w:val="auto"/>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restart"/>
            <w:vAlign w:val="center"/>
          </w:tcPr>
          <w:p>
            <w:pPr>
              <w:pStyle w:val="17"/>
              <w:bidi w:val="0"/>
              <w:rPr>
                <w:rFonts w:hint="eastAsia"/>
                <w:color w:val="auto"/>
              </w:rPr>
            </w:pPr>
            <w:r>
              <w:rPr>
                <w:rFonts w:hint="eastAsia"/>
                <w:color w:val="auto"/>
              </w:rPr>
              <w:t>主体结构Q1</w:t>
            </w:r>
          </w:p>
          <w:p>
            <w:pPr>
              <w:pStyle w:val="17"/>
              <w:bidi w:val="0"/>
              <w:rPr>
                <w:rFonts w:hint="eastAsia"/>
                <w:color w:val="auto"/>
              </w:rPr>
            </w:pPr>
            <w:r>
              <w:rPr>
                <w:rFonts w:hint="eastAsia"/>
                <w:color w:val="auto"/>
              </w:rPr>
              <w:t>（50分）</w:t>
            </w:r>
          </w:p>
        </w:tc>
        <w:tc>
          <w:tcPr>
            <w:tcW w:w="850" w:type="pct"/>
            <w:vMerge w:val="restart"/>
            <w:vAlign w:val="center"/>
          </w:tcPr>
          <w:p>
            <w:pPr>
              <w:pStyle w:val="17"/>
              <w:bidi w:val="0"/>
              <w:rPr>
                <w:rFonts w:hint="eastAsia"/>
                <w:color w:val="auto"/>
              </w:rPr>
            </w:pPr>
            <w:r>
              <w:rPr>
                <w:rFonts w:hint="eastAsia"/>
                <w:color w:val="auto"/>
              </w:rPr>
              <w:t>柱、支撑、承重墙、延性墙板等竖向构件</w:t>
            </w:r>
          </w:p>
        </w:tc>
        <w:tc>
          <w:tcPr>
            <w:tcW w:w="777" w:type="pct"/>
            <w:vMerge w:val="restart"/>
            <w:vAlign w:val="center"/>
          </w:tcPr>
          <w:p>
            <w:pPr>
              <w:pStyle w:val="17"/>
              <w:bidi w:val="0"/>
              <w:rPr>
                <w:rFonts w:hint="eastAsia"/>
                <w:color w:val="auto"/>
              </w:rPr>
            </w:pPr>
            <w:r>
              <w:rPr>
                <w:rFonts w:hint="eastAsia"/>
                <w:color w:val="auto"/>
              </w:rPr>
              <w:t>A、采用预制构件</w:t>
            </w:r>
          </w:p>
        </w:tc>
        <w:tc>
          <w:tcPr>
            <w:tcW w:w="805" w:type="pct"/>
            <w:vAlign w:val="center"/>
          </w:tcPr>
          <w:p>
            <w:pPr>
              <w:pStyle w:val="17"/>
              <w:bidi w:val="0"/>
              <w:rPr>
                <w:rFonts w:hint="eastAsia"/>
                <w:color w:val="auto"/>
              </w:rPr>
            </w:pPr>
            <w:r>
              <w:rPr>
                <w:rFonts w:hint="eastAsia"/>
                <w:color w:val="auto"/>
              </w:rPr>
              <w:t>35%≤比例≤80%</w:t>
            </w:r>
          </w:p>
        </w:tc>
        <w:tc>
          <w:tcPr>
            <w:tcW w:w="649" w:type="pct"/>
            <w:vAlign w:val="center"/>
          </w:tcPr>
          <w:p>
            <w:pPr>
              <w:pStyle w:val="17"/>
              <w:bidi w:val="0"/>
              <w:rPr>
                <w:rFonts w:hint="eastAsia"/>
                <w:color w:val="auto"/>
              </w:rPr>
            </w:pPr>
            <w:r>
              <w:rPr>
                <w:rFonts w:hint="eastAsia"/>
                <w:color w:val="auto"/>
              </w:rPr>
              <w:t>15~25*</w:t>
            </w:r>
          </w:p>
        </w:tc>
        <w:tc>
          <w:tcPr>
            <w:tcW w:w="417" w:type="pct"/>
            <w:vMerge w:val="restart"/>
            <w:vAlign w:val="center"/>
          </w:tcPr>
          <w:p>
            <w:pPr>
              <w:pStyle w:val="17"/>
              <w:bidi w:val="0"/>
              <w:rPr>
                <w:rFonts w:hint="eastAsia"/>
                <w:color w:val="auto"/>
              </w:rPr>
            </w:pPr>
            <w:r>
              <w:rPr>
                <w:rFonts w:hint="eastAsia"/>
                <w:color w:val="auto"/>
              </w:rPr>
              <w:t>20</w:t>
            </w: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850" w:type="pct"/>
            <w:vMerge w:val="continue"/>
            <w:vAlign w:val="center"/>
          </w:tcPr>
          <w:p>
            <w:pPr>
              <w:pStyle w:val="17"/>
              <w:bidi w:val="0"/>
              <w:rPr>
                <w:rFonts w:hint="eastAsia"/>
                <w:color w:val="auto"/>
              </w:rPr>
            </w:pPr>
          </w:p>
        </w:tc>
        <w:tc>
          <w:tcPr>
            <w:tcW w:w="777" w:type="pct"/>
            <w:vMerge w:val="continue"/>
            <w:vAlign w:val="center"/>
          </w:tcPr>
          <w:p>
            <w:pPr>
              <w:pStyle w:val="17"/>
              <w:bidi w:val="0"/>
              <w:rPr>
                <w:rFonts w:hint="eastAsia"/>
                <w:color w:val="auto"/>
              </w:rPr>
            </w:pPr>
          </w:p>
        </w:tc>
        <w:tc>
          <w:tcPr>
            <w:tcW w:w="805" w:type="pct"/>
            <w:vAlign w:val="center"/>
          </w:tcPr>
          <w:p>
            <w:pPr>
              <w:pStyle w:val="17"/>
              <w:bidi w:val="0"/>
              <w:rPr>
                <w:rFonts w:hint="eastAsia"/>
                <w:color w:val="auto"/>
              </w:rPr>
            </w:pPr>
            <w:r>
              <w:rPr>
                <w:rFonts w:hint="eastAsia"/>
                <w:color w:val="auto"/>
              </w:rPr>
              <w:t>15%≤比例＜35%</w:t>
            </w:r>
          </w:p>
        </w:tc>
        <w:tc>
          <w:tcPr>
            <w:tcW w:w="649" w:type="pct"/>
            <w:vAlign w:val="center"/>
          </w:tcPr>
          <w:p>
            <w:pPr>
              <w:pStyle w:val="17"/>
              <w:bidi w:val="0"/>
              <w:rPr>
                <w:rFonts w:hint="eastAsia"/>
                <w:color w:val="auto"/>
              </w:rPr>
            </w:pPr>
            <w:r>
              <w:rPr>
                <w:rFonts w:hint="eastAsia"/>
                <w:color w:val="auto"/>
              </w:rPr>
              <w:t>5~15*</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850" w:type="pct"/>
            <w:vMerge w:val="continue"/>
            <w:vAlign w:val="center"/>
          </w:tcPr>
          <w:p>
            <w:pPr>
              <w:pStyle w:val="17"/>
              <w:bidi w:val="0"/>
              <w:rPr>
                <w:rFonts w:hint="eastAsia"/>
                <w:color w:val="auto"/>
              </w:rPr>
            </w:pPr>
          </w:p>
        </w:tc>
        <w:tc>
          <w:tcPr>
            <w:tcW w:w="777" w:type="pct"/>
            <w:vAlign w:val="center"/>
          </w:tcPr>
          <w:p>
            <w:pPr>
              <w:pStyle w:val="17"/>
              <w:bidi w:val="0"/>
              <w:rPr>
                <w:rFonts w:hint="eastAsia"/>
                <w:color w:val="auto"/>
              </w:rPr>
            </w:pPr>
            <w:r>
              <w:rPr>
                <w:rFonts w:hint="eastAsia"/>
                <w:color w:val="auto"/>
              </w:rPr>
              <w:t>B、采用新型模板或免拆模板施工工艺</w:t>
            </w:r>
          </w:p>
        </w:tc>
        <w:tc>
          <w:tcPr>
            <w:tcW w:w="805" w:type="pct"/>
            <w:vAlign w:val="center"/>
          </w:tcPr>
          <w:p>
            <w:pPr>
              <w:pStyle w:val="17"/>
              <w:bidi w:val="0"/>
              <w:rPr>
                <w:rFonts w:hint="eastAsia"/>
                <w:color w:val="auto"/>
              </w:rPr>
            </w:pPr>
            <w:r>
              <w:rPr>
                <w:rFonts w:hint="eastAsia"/>
                <w:color w:val="auto"/>
              </w:rPr>
              <w:t>比例≥85%</w:t>
            </w:r>
          </w:p>
        </w:tc>
        <w:tc>
          <w:tcPr>
            <w:tcW w:w="649" w:type="pct"/>
            <w:vAlign w:val="center"/>
          </w:tcPr>
          <w:p>
            <w:pPr>
              <w:pStyle w:val="17"/>
              <w:bidi w:val="0"/>
              <w:rPr>
                <w:rFonts w:hint="eastAsia"/>
                <w:color w:val="auto"/>
              </w:rPr>
            </w:pPr>
            <w:r>
              <w:rPr>
                <w:rFonts w:hint="eastAsia"/>
                <w:color w:val="auto"/>
              </w:rPr>
              <w:t>3</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850" w:type="pct"/>
            <w:vMerge w:val="restart"/>
            <w:vAlign w:val="center"/>
          </w:tcPr>
          <w:p>
            <w:pPr>
              <w:pStyle w:val="17"/>
              <w:bidi w:val="0"/>
              <w:rPr>
                <w:rFonts w:hint="eastAsia"/>
                <w:color w:val="auto"/>
              </w:rPr>
            </w:pPr>
            <w:r>
              <w:rPr>
                <w:rFonts w:hint="eastAsia"/>
                <w:color w:val="auto"/>
              </w:rPr>
              <w:t>梁、板、楼梯、阳台、空调板等水平构件</w:t>
            </w:r>
          </w:p>
        </w:tc>
        <w:tc>
          <w:tcPr>
            <w:tcW w:w="777" w:type="pct"/>
            <w:vMerge w:val="restart"/>
            <w:vAlign w:val="center"/>
          </w:tcPr>
          <w:p>
            <w:pPr>
              <w:pStyle w:val="17"/>
              <w:bidi w:val="0"/>
              <w:rPr>
                <w:rFonts w:hint="eastAsia"/>
                <w:color w:val="auto"/>
              </w:rPr>
            </w:pPr>
            <w:r>
              <w:rPr>
                <w:rFonts w:hint="eastAsia"/>
                <w:color w:val="auto"/>
              </w:rPr>
              <w:t>A、采用预制构件</w:t>
            </w:r>
          </w:p>
        </w:tc>
        <w:tc>
          <w:tcPr>
            <w:tcW w:w="805" w:type="pct"/>
            <w:vAlign w:val="center"/>
          </w:tcPr>
          <w:p>
            <w:pPr>
              <w:pStyle w:val="17"/>
              <w:bidi w:val="0"/>
              <w:rPr>
                <w:rFonts w:hint="eastAsia"/>
                <w:color w:val="auto"/>
              </w:rPr>
            </w:pPr>
            <w:r>
              <w:rPr>
                <w:rFonts w:hint="eastAsia"/>
                <w:color w:val="auto"/>
              </w:rPr>
              <w:t>70%≤比例≤80%</w:t>
            </w:r>
          </w:p>
        </w:tc>
        <w:tc>
          <w:tcPr>
            <w:tcW w:w="649" w:type="pct"/>
            <w:vAlign w:val="center"/>
          </w:tcPr>
          <w:p>
            <w:pPr>
              <w:pStyle w:val="17"/>
              <w:bidi w:val="0"/>
              <w:rPr>
                <w:rFonts w:hint="eastAsia"/>
                <w:color w:val="auto"/>
              </w:rPr>
            </w:pPr>
            <w:r>
              <w:rPr>
                <w:rFonts w:hint="eastAsia"/>
                <w:color w:val="auto"/>
              </w:rPr>
              <w:t>10~</w:t>
            </w:r>
          </w:p>
          <w:p>
            <w:pPr>
              <w:pStyle w:val="17"/>
              <w:bidi w:val="0"/>
              <w:rPr>
                <w:rFonts w:hint="eastAsia"/>
                <w:color w:val="auto"/>
              </w:rPr>
            </w:pPr>
            <w:r>
              <w:rPr>
                <w:rFonts w:hint="eastAsia"/>
                <w:color w:val="auto"/>
              </w:rPr>
              <w:t>20*</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r>
              <w:rPr>
                <w:rFonts w:hint="eastAsia"/>
                <w:color w:val="auto"/>
              </w:rPr>
              <w:t>≥80%</w:t>
            </w:r>
          </w:p>
        </w:tc>
        <w:tc>
          <w:tcPr>
            <w:tcW w:w="626" w:type="pct"/>
            <w:vAlign w:val="center"/>
          </w:tcPr>
          <w:p>
            <w:pPr>
              <w:pStyle w:val="17"/>
              <w:bidi w:val="0"/>
              <w:rPr>
                <w:rFonts w:hint="eastAsia"/>
                <w:color w:val="auto"/>
              </w:rPr>
            </w:pPr>
            <w:r>
              <w:rPr>
                <w:rFonts w:hint="eastAsia"/>
                <w:color w:val="auto"/>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850" w:type="pct"/>
            <w:vMerge w:val="continue"/>
            <w:vAlign w:val="center"/>
          </w:tcPr>
          <w:p>
            <w:pPr>
              <w:pStyle w:val="17"/>
              <w:bidi w:val="0"/>
              <w:rPr>
                <w:rFonts w:hint="eastAsia"/>
                <w:color w:val="auto"/>
              </w:rPr>
            </w:pPr>
          </w:p>
        </w:tc>
        <w:tc>
          <w:tcPr>
            <w:tcW w:w="777" w:type="pct"/>
            <w:vMerge w:val="continue"/>
            <w:vAlign w:val="center"/>
          </w:tcPr>
          <w:p>
            <w:pPr>
              <w:pStyle w:val="17"/>
              <w:bidi w:val="0"/>
              <w:rPr>
                <w:rFonts w:hint="eastAsia"/>
                <w:color w:val="auto"/>
              </w:rPr>
            </w:pPr>
          </w:p>
        </w:tc>
        <w:tc>
          <w:tcPr>
            <w:tcW w:w="805" w:type="pct"/>
            <w:vAlign w:val="center"/>
          </w:tcPr>
          <w:p>
            <w:pPr>
              <w:pStyle w:val="17"/>
              <w:bidi w:val="0"/>
              <w:rPr>
                <w:rFonts w:hint="eastAsia"/>
                <w:color w:val="auto"/>
              </w:rPr>
            </w:pPr>
            <w:r>
              <w:rPr>
                <w:rFonts w:hint="eastAsia"/>
                <w:color w:val="auto"/>
              </w:rPr>
              <w:t>50%≤比例≤70%</w:t>
            </w:r>
          </w:p>
        </w:tc>
        <w:tc>
          <w:tcPr>
            <w:tcW w:w="649" w:type="pct"/>
            <w:vAlign w:val="center"/>
          </w:tcPr>
          <w:p>
            <w:pPr>
              <w:pStyle w:val="17"/>
              <w:bidi w:val="0"/>
              <w:rPr>
                <w:rFonts w:hint="eastAsia"/>
                <w:color w:val="auto"/>
              </w:rPr>
            </w:pPr>
            <w:r>
              <w:rPr>
                <w:rFonts w:hint="eastAsia"/>
                <w:color w:val="auto"/>
              </w:rPr>
              <w:t>5~</w:t>
            </w:r>
          </w:p>
          <w:p>
            <w:pPr>
              <w:pStyle w:val="17"/>
              <w:bidi w:val="0"/>
              <w:rPr>
                <w:rFonts w:hint="eastAsia"/>
                <w:color w:val="auto"/>
              </w:rPr>
            </w:pPr>
            <w:r>
              <w:rPr>
                <w:rFonts w:hint="eastAsia"/>
                <w:color w:val="auto"/>
              </w:rPr>
              <w:t>10*</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850" w:type="pct"/>
            <w:vMerge w:val="continue"/>
            <w:vAlign w:val="center"/>
          </w:tcPr>
          <w:p>
            <w:pPr>
              <w:pStyle w:val="17"/>
              <w:bidi w:val="0"/>
              <w:rPr>
                <w:rFonts w:hint="eastAsia"/>
                <w:color w:val="auto"/>
              </w:rPr>
            </w:pPr>
          </w:p>
        </w:tc>
        <w:tc>
          <w:tcPr>
            <w:tcW w:w="777" w:type="pct"/>
            <w:vAlign w:val="center"/>
          </w:tcPr>
          <w:p>
            <w:pPr>
              <w:pStyle w:val="17"/>
              <w:bidi w:val="0"/>
              <w:rPr>
                <w:rFonts w:hint="eastAsia"/>
                <w:color w:val="auto"/>
              </w:rPr>
            </w:pPr>
            <w:r>
              <w:rPr>
                <w:rFonts w:hint="eastAsia"/>
                <w:color w:val="auto"/>
              </w:rPr>
              <w:t>B、采用免拆模板施工工艺</w:t>
            </w:r>
          </w:p>
        </w:tc>
        <w:tc>
          <w:tcPr>
            <w:tcW w:w="805" w:type="pct"/>
            <w:vAlign w:val="center"/>
          </w:tcPr>
          <w:p>
            <w:pPr>
              <w:pStyle w:val="17"/>
              <w:bidi w:val="0"/>
              <w:rPr>
                <w:rFonts w:hint="eastAsia"/>
                <w:color w:val="auto"/>
              </w:rPr>
            </w:pPr>
            <w:r>
              <w:rPr>
                <w:rFonts w:hint="eastAsia"/>
                <w:color w:val="auto"/>
              </w:rPr>
              <w:t>60%≤比例≤80%</w:t>
            </w:r>
          </w:p>
        </w:tc>
        <w:tc>
          <w:tcPr>
            <w:tcW w:w="649" w:type="pct"/>
            <w:vAlign w:val="center"/>
          </w:tcPr>
          <w:p>
            <w:pPr>
              <w:pStyle w:val="17"/>
              <w:bidi w:val="0"/>
              <w:rPr>
                <w:rFonts w:hint="eastAsia"/>
                <w:color w:val="auto"/>
              </w:rPr>
            </w:pPr>
            <w:r>
              <w:rPr>
                <w:rFonts w:hint="eastAsia"/>
                <w:color w:val="auto"/>
              </w:rPr>
              <w:t>6～8*</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Align w:val="center"/>
          </w:tcPr>
          <w:p>
            <w:pPr>
              <w:pStyle w:val="17"/>
              <w:bidi w:val="0"/>
              <w:rPr>
                <w:rFonts w:hint="eastAsia"/>
                <w:color w:val="auto"/>
              </w:rPr>
            </w:pPr>
          </w:p>
        </w:tc>
        <w:tc>
          <w:tcPr>
            <w:tcW w:w="850" w:type="pct"/>
            <w:vAlign w:val="center"/>
          </w:tcPr>
          <w:p>
            <w:pPr>
              <w:pStyle w:val="17"/>
              <w:bidi w:val="0"/>
              <w:rPr>
                <w:rFonts w:hint="eastAsia"/>
                <w:color w:val="auto"/>
              </w:rPr>
            </w:pPr>
            <w:r>
              <w:rPr>
                <w:rFonts w:hint="eastAsia"/>
                <w:color w:val="auto"/>
              </w:rPr>
              <w:t>预制水平构件集成化</w:t>
            </w:r>
          </w:p>
        </w:tc>
        <w:tc>
          <w:tcPr>
            <w:tcW w:w="777" w:type="pct"/>
            <w:vAlign w:val="center"/>
          </w:tcPr>
          <w:p>
            <w:pPr>
              <w:pStyle w:val="17"/>
              <w:bidi w:val="0"/>
              <w:rPr>
                <w:rFonts w:hint="eastAsia"/>
                <w:color w:val="auto"/>
              </w:rPr>
            </w:pPr>
            <w:r>
              <w:rPr>
                <w:rFonts w:hint="eastAsia"/>
                <w:color w:val="auto"/>
              </w:rPr>
              <w:t>预制楼板与保温一体化</w:t>
            </w:r>
          </w:p>
        </w:tc>
        <w:tc>
          <w:tcPr>
            <w:tcW w:w="805" w:type="pct"/>
            <w:vAlign w:val="center"/>
          </w:tcPr>
          <w:p>
            <w:pPr>
              <w:pStyle w:val="17"/>
              <w:bidi w:val="0"/>
              <w:rPr>
                <w:rFonts w:hint="eastAsia"/>
                <w:color w:val="auto"/>
              </w:rPr>
            </w:pPr>
            <w:r>
              <w:rPr>
                <w:rFonts w:hint="eastAsia"/>
                <w:color w:val="auto"/>
              </w:rPr>
              <w:t>50%≤比例≤70%</w:t>
            </w:r>
          </w:p>
        </w:tc>
        <w:tc>
          <w:tcPr>
            <w:tcW w:w="649" w:type="pct"/>
            <w:vAlign w:val="center"/>
          </w:tcPr>
          <w:p>
            <w:pPr>
              <w:pStyle w:val="17"/>
              <w:bidi w:val="0"/>
              <w:rPr>
                <w:rFonts w:hint="eastAsia"/>
                <w:color w:val="auto"/>
              </w:rPr>
            </w:pPr>
            <w:r>
              <w:rPr>
                <w:rFonts w:hint="eastAsia"/>
                <w:color w:val="auto"/>
              </w:rPr>
              <w:t>3～5*</w:t>
            </w:r>
          </w:p>
        </w:tc>
        <w:tc>
          <w:tcPr>
            <w:tcW w:w="417" w:type="pct"/>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restart"/>
            <w:vAlign w:val="center"/>
          </w:tcPr>
          <w:p>
            <w:pPr>
              <w:pStyle w:val="17"/>
              <w:bidi w:val="0"/>
              <w:rPr>
                <w:rFonts w:hint="eastAsia"/>
                <w:color w:val="auto"/>
              </w:rPr>
            </w:pPr>
            <w:r>
              <w:rPr>
                <w:rFonts w:hint="eastAsia"/>
                <w:color w:val="auto"/>
              </w:rPr>
              <w:t>围护墙和内隔墙Q2（20分）</w:t>
            </w:r>
          </w:p>
        </w:tc>
        <w:tc>
          <w:tcPr>
            <w:tcW w:w="850" w:type="pct"/>
            <w:vMerge w:val="restart"/>
            <w:vAlign w:val="center"/>
          </w:tcPr>
          <w:p>
            <w:pPr>
              <w:pStyle w:val="17"/>
              <w:bidi w:val="0"/>
              <w:rPr>
                <w:rFonts w:hint="eastAsia"/>
                <w:color w:val="auto"/>
              </w:rPr>
            </w:pPr>
            <w:r>
              <w:rPr>
                <w:rFonts w:hint="eastAsia"/>
                <w:color w:val="auto"/>
              </w:rPr>
              <w:t>非承重围护墙</w:t>
            </w:r>
          </w:p>
        </w:tc>
        <w:tc>
          <w:tcPr>
            <w:tcW w:w="777" w:type="pct"/>
            <w:vAlign w:val="center"/>
          </w:tcPr>
          <w:p>
            <w:pPr>
              <w:pStyle w:val="17"/>
              <w:bidi w:val="0"/>
              <w:rPr>
                <w:rFonts w:hint="eastAsia"/>
                <w:color w:val="auto"/>
              </w:rPr>
            </w:pPr>
            <w:r>
              <w:rPr>
                <w:rFonts w:hint="eastAsia"/>
                <w:color w:val="auto"/>
              </w:rPr>
              <w:t>A、非承重围护墙非砌筑</w:t>
            </w:r>
          </w:p>
        </w:tc>
        <w:tc>
          <w:tcPr>
            <w:tcW w:w="805" w:type="pct"/>
            <w:vAlign w:val="center"/>
          </w:tcPr>
          <w:p>
            <w:pPr>
              <w:pStyle w:val="17"/>
              <w:bidi w:val="0"/>
              <w:rPr>
                <w:rFonts w:hint="eastAsia"/>
                <w:color w:val="auto"/>
              </w:rPr>
            </w:pPr>
            <w:r>
              <w:rPr>
                <w:rFonts w:hint="eastAsia"/>
                <w:color w:val="auto"/>
              </w:rPr>
              <w:t>比例≥80%</w:t>
            </w:r>
          </w:p>
        </w:tc>
        <w:tc>
          <w:tcPr>
            <w:tcW w:w="649" w:type="pct"/>
            <w:vAlign w:val="center"/>
          </w:tcPr>
          <w:p>
            <w:pPr>
              <w:pStyle w:val="17"/>
              <w:bidi w:val="0"/>
              <w:rPr>
                <w:rFonts w:hint="eastAsia"/>
                <w:color w:val="auto"/>
              </w:rPr>
            </w:pPr>
            <w:r>
              <w:rPr>
                <w:rFonts w:hint="eastAsia"/>
                <w:color w:val="auto"/>
              </w:rPr>
              <w:t>5</w:t>
            </w:r>
          </w:p>
        </w:tc>
        <w:tc>
          <w:tcPr>
            <w:tcW w:w="417" w:type="pct"/>
            <w:vMerge w:val="restart"/>
            <w:vAlign w:val="center"/>
          </w:tcPr>
          <w:p>
            <w:pPr>
              <w:pStyle w:val="17"/>
              <w:bidi w:val="0"/>
              <w:rPr>
                <w:rFonts w:hint="eastAsia"/>
                <w:color w:val="auto"/>
              </w:rPr>
            </w:pPr>
            <w:r>
              <w:rPr>
                <w:rFonts w:hint="eastAsia"/>
                <w:color w:val="auto"/>
              </w:rPr>
              <w:t>10</w:t>
            </w:r>
          </w:p>
        </w:tc>
        <w:tc>
          <w:tcPr>
            <w:tcW w:w="417" w:type="pct"/>
            <w:vAlign w:val="center"/>
          </w:tcPr>
          <w:p>
            <w:pPr>
              <w:pStyle w:val="17"/>
              <w:bidi w:val="0"/>
              <w:rPr>
                <w:rFonts w:hint="eastAsia"/>
                <w:color w:val="auto"/>
              </w:rPr>
            </w:pPr>
            <w:r>
              <w:rPr>
                <w:rFonts w:hint="eastAsia"/>
                <w:color w:val="auto"/>
              </w:rPr>
              <w:t>≥80%</w:t>
            </w:r>
          </w:p>
        </w:tc>
        <w:tc>
          <w:tcPr>
            <w:tcW w:w="626" w:type="pct"/>
            <w:vAlign w:val="center"/>
          </w:tcPr>
          <w:p>
            <w:pPr>
              <w:pStyle w:val="17"/>
              <w:bidi w:val="0"/>
              <w:rPr>
                <w:rFonts w:hint="eastAsia"/>
                <w:color w:val="auto"/>
              </w:rPr>
            </w:pPr>
            <w:r>
              <w:rPr>
                <w:rFonts w:hint="eastAsia"/>
                <w:color w:val="aut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850" w:type="pct"/>
            <w:vMerge w:val="continue"/>
            <w:vAlign w:val="center"/>
          </w:tcPr>
          <w:p>
            <w:pPr>
              <w:pStyle w:val="17"/>
              <w:bidi w:val="0"/>
              <w:rPr>
                <w:rFonts w:hint="eastAsia"/>
                <w:color w:val="auto"/>
              </w:rPr>
            </w:pPr>
          </w:p>
        </w:tc>
        <w:tc>
          <w:tcPr>
            <w:tcW w:w="777" w:type="pct"/>
            <w:vAlign w:val="center"/>
          </w:tcPr>
          <w:p>
            <w:pPr>
              <w:pStyle w:val="17"/>
              <w:bidi w:val="0"/>
              <w:rPr>
                <w:rFonts w:hint="eastAsia"/>
                <w:color w:val="auto"/>
              </w:rPr>
            </w:pPr>
            <w:r>
              <w:rPr>
                <w:rFonts w:hint="eastAsia"/>
                <w:color w:val="auto"/>
              </w:rPr>
              <w:t>B、采用新型模板施工工艺的全现浇外墙</w:t>
            </w:r>
          </w:p>
        </w:tc>
        <w:tc>
          <w:tcPr>
            <w:tcW w:w="805" w:type="pct"/>
            <w:vAlign w:val="center"/>
          </w:tcPr>
          <w:p>
            <w:pPr>
              <w:pStyle w:val="17"/>
              <w:bidi w:val="0"/>
              <w:rPr>
                <w:rFonts w:hint="eastAsia"/>
                <w:color w:val="auto"/>
              </w:rPr>
            </w:pPr>
            <w:r>
              <w:rPr>
                <w:rFonts w:hint="eastAsia"/>
                <w:color w:val="auto"/>
              </w:rPr>
              <w:t>比例≥85%</w:t>
            </w:r>
          </w:p>
        </w:tc>
        <w:tc>
          <w:tcPr>
            <w:tcW w:w="649" w:type="pct"/>
            <w:vAlign w:val="center"/>
          </w:tcPr>
          <w:p>
            <w:pPr>
              <w:pStyle w:val="17"/>
              <w:bidi w:val="0"/>
              <w:rPr>
                <w:rFonts w:hint="eastAsia"/>
                <w:color w:val="auto"/>
              </w:rPr>
            </w:pPr>
            <w:r>
              <w:rPr>
                <w:rFonts w:hint="eastAsia"/>
                <w:color w:val="auto"/>
              </w:rPr>
              <w:t>5</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850" w:type="pct"/>
            <w:vMerge w:val="restart"/>
            <w:vAlign w:val="center"/>
          </w:tcPr>
          <w:p>
            <w:pPr>
              <w:pStyle w:val="17"/>
              <w:bidi w:val="0"/>
              <w:rPr>
                <w:rFonts w:hint="eastAsia"/>
                <w:color w:val="auto"/>
              </w:rPr>
            </w:pPr>
            <w:r>
              <w:rPr>
                <w:rFonts w:hint="eastAsia"/>
                <w:color w:val="auto"/>
              </w:rPr>
              <w:t>外围护墙体集成化</w:t>
            </w:r>
          </w:p>
        </w:tc>
        <w:tc>
          <w:tcPr>
            <w:tcW w:w="777" w:type="pct"/>
            <w:vAlign w:val="center"/>
          </w:tcPr>
          <w:p>
            <w:pPr>
              <w:pStyle w:val="17"/>
              <w:bidi w:val="0"/>
              <w:rPr>
                <w:rFonts w:hint="eastAsia"/>
                <w:color w:val="auto"/>
              </w:rPr>
            </w:pPr>
            <w:r>
              <w:rPr>
                <w:rFonts w:hint="eastAsia"/>
                <w:color w:val="auto"/>
              </w:rPr>
              <w:t>A、非砌筑围护墙与</w:t>
            </w:r>
          </w:p>
          <w:p>
            <w:pPr>
              <w:pStyle w:val="17"/>
              <w:bidi w:val="0"/>
              <w:rPr>
                <w:rFonts w:hint="eastAsia"/>
                <w:color w:val="auto"/>
              </w:rPr>
            </w:pPr>
            <w:r>
              <w:rPr>
                <w:rFonts w:hint="eastAsia"/>
                <w:color w:val="auto"/>
              </w:rPr>
              <w:t>保温、隔热、装饰一</w:t>
            </w:r>
          </w:p>
          <w:p>
            <w:pPr>
              <w:pStyle w:val="17"/>
              <w:bidi w:val="0"/>
              <w:rPr>
                <w:rFonts w:hint="eastAsia"/>
                <w:color w:val="auto"/>
              </w:rPr>
            </w:pPr>
            <w:r>
              <w:rPr>
                <w:rFonts w:hint="eastAsia"/>
                <w:color w:val="auto"/>
              </w:rPr>
              <w:t>体化</w:t>
            </w:r>
          </w:p>
        </w:tc>
        <w:tc>
          <w:tcPr>
            <w:tcW w:w="805" w:type="pct"/>
            <w:vAlign w:val="center"/>
          </w:tcPr>
          <w:p>
            <w:pPr>
              <w:pStyle w:val="17"/>
              <w:bidi w:val="0"/>
              <w:rPr>
                <w:rFonts w:hint="eastAsia"/>
                <w:color w:val="auto"/>
              </w:rPr>
            </w:pPr>
            <w:r>
              <w:rPr>
                <w:rFonts w:hint="eastAsia"/>
                <w:color w:val="auto"/>
              </w:rPr>
              <w:t>50%≤比例≤80%</w:t>
            </w:r>
          </w:p>
        </w:tc>
        <w:tc>
          <w:tcPr>
            <w:tcW w:w="649" w:type="pct"/>
            <w:vAlign w:val="center"/>
          </w:tcPr>
          <w:p>
            <w:pPr>
              <w:pStyle w:val="17"/>
              <w:bidi w:val="0"/>
              <w:rPr>
                <w:rFonts w:hint="eastAsia"/>
                <w:color w:val="auto"/>
              </w:rPr>
            </w:pPr>
          </w:p>
          <w:p>
            <w:pPr>
              <w:pStyle w:val="17"/>
              <w:bidi w:val="0"/>
              <w:rPr>
                <w:rFonts w:hint="eastAsia"/>
                <w:color w:val="auto"/>
              </w:rPr>
            </w:pPr>
            <w:r>
              <w:rPr>
                <w:rFonts w:hint="eastAsia"/>
                <w:color w:val="auto"/>
              </w:rPr>
              <w:t>2～5*</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850" w:type="pct"/>
            <w:vMerge w:val="continue"/>
            <w:vAlign w:val="center"/>
          </w:tcPr>
          <w:p>
            <w:pPr>
              <w:pStyle w:val="17"/>
              <w:bidi w:val="0"/>
              <w:rPr>
                <w:rFonts w:hint="eastAsia"/>
                <w:color w:val="auto"/>
              </w:rPr>
            </w:pPr>
          </w:p>
        </w:tc>
        <w:tc>
          <w:tcPr>
            <w:tcW w:w="777" w:type="pct"/>
            <w:vAlign w:val="center"/>
          </w:tcPr>
          <w:p>
            <w:pPr>
              <w:pStyle w:val="17"/>
              <w:bidi w:val="0"/>
              <w:rPr>
                <w:rFonts w:hint="eastAsia"/>
                <w:color w:val="auto"/>
              </w:rPr>
            </w:pPr>
            <w:r>
              <w:rPr>
                <w:rFonts w:hint="eastAsia"/>
                <w:color w:val="auto"/>
              </w:rPr>
              <w:t>B、预制围护墙与保温、隔热一体化</w:t>
            </w:r>
          </w:p>
        </w:tc>
        <w:tc>
          <w:tcPr>
            <w:tcW w:w="805" w:type="pct"/>
            <w:vAlign w:val="center"/>
          </w:tcPr>
          <w:p>
            <w:pPr>
              <w:pStyle w:val="17"/>
              <w:bidi w:val="0"/>
              <w:rPr>
                <w:rFonts w:hint="eastAsia"/>
                <w:color w:val="auto"/>
              </w:rPr>
            </w:pPr>
            <w:r>
              <w:rPr>
                <w:rFonts w:hint="eastAsia"/>
                <w:color w:val="auto"/>
              </w:rPr>
              <w:t>50%≤比例≤80%</w:t>
            </w:r>
          </w:p>
        </w:tc>
        <w:tc>
          <w:tcPr>
            <w:tcW w:w="649" w:type="pct"/>
            <w:vAlign w:val="center"/>
          </w:tcPr>
          <w:p>
            <w:pPr>
              <w:pStyle w:val="17"/>
              <w:bidi w:val="0"/>
              <w:rPr>
                <w:rFonts w:hint="eastAsia"/>
                <w:color w:val="auto"/>
              </w:rPr>
            </w:pPr>
            <w:r>
              <w:rPr>
                <w:rFonts w:hint="eastAsia"/>
                <w:color w:val="auto"/>
              </w:rPr>
              <w:t>2～5*</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850" w:type="pct"/>
            <w:vMerge w:val="continue"/>
            <w:vAlign w:val="center"/>
          </w:tcPr>
          <w:p>
            <w:pPr>
              <w:pStyle w:val="17"/>
              <w:bidi w:val="0"/>
              <w:rPr>
                <w:rFonts w:hint="eastAsia"/>
                <w:color w:val="auto"/>
              </w:rPr>
            </w:pPr>
          </w:p>
        </w:tc>
        <w:tc>
          <w:tcPr>
            <w:tcW w:w="777" w:type="pct"/>
            <w:vAlign w:val="center"/>
          </w:tcPr>
          <w:p>
            <w:pPr>
              <w:pStyle w:val="17"/>
              <w:bidi w:val="0"/>
              <w:rPr>
                <w:rFonts w:hint="eastAsia"/>
                <w:color w:val="auto"/>
              </w:rPr>
            </w:pPr>
            <w:r>
              <w:rPr>
                <w:rFonts w:hint="eastAsia"/>
                <w:color w:val="auto"/>
              </w:rPr>
              <w:t>C、采用干式工法保温装饰一体板施工</w:t>
            </w:r>
          </w:p>
        </w:tc>
        <w:tc>
          <w:tcPr>
            <w:tcW w:w="805" w:type="pct"/>
            <w:vAlign w:val="center"/>
          </w:tcPr>
          <w:p>
            <w:pPr>
              <w:pStyle w:val="17"/>
              <w:bidi w:val="0"/>
              <w:rPr>
                <w:rFonts w:hint="eastAsia"/>
                <w:color w:val="auto"/>
              </w:rPr>
            </w:pPr>
            <w:r>
              <w:rPr>
                <w:rFonts w:hint="eastAsia"/>
                <w:color w:val="auto"/>
              </w:rPr>
              <w:t>比例≥80%</w:t>
            </w:r>
          </w:p>
        </w:tc>
        <w:tc>
          <w:tcPr>
            <w:tcW w:w="649" w:type="pct"/>
            <w:vAlign w:val="center"/>
          </w:tcPr>
          <w:p>
            <w:pPr>
              <w:pStyle w:val="17"/>
              <w:bidi w:val="0"/>
              <w:rPr>
                <w:rFonts w:hint="eastAsia"/>
                <w:color w:val="auto"/>
              </w:rPr>
            </w:pPr>
            <w:r>
              <w:rPr>
                <w:rFonts w:hint="eastAsia"/>
                <w:color w:val="auto"/>
              </w:rPr>
              <w:t>3</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r>
              <w:rPr>
                <w:rFonts w:hint="eastAsia"/>
                <w:color w:val="auto"/>
              </w:rPr>
              <w:t>≥80%</w:t>
            </w:r>
          </w:p>
        </w:tc>
        <w:tc>
          <w:tcPr>
            <w:tcW w:w="626" w:type="pct"/>
            <w:vAlign w:val="center"/>
          </w:tcPr>
          <w:p>
            <w:pPr>
              <w:pStyle w:val="17"/>
              <w:bidi w:val="0"/>
              <w:rPr>
                <w:rFonts w:hint="eastAsia"/>
                <w:color w:val="auto"/>
              </w:rPr>
            </w:pPr>
            <w:r>
              <w:rPr>
                <w:rFonts w:hint="eastAsia"/>
                <w:color w:val="aut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1628" w:type="pct"/>
            <w:gridSpan w:val="2"/>
            <w:vAlign w:val="center"/>
          </w:tcPr>
          <w:p>
            <w:pPr>
              <w:pStyle w:val="17"/>
              <w:bidi w:val="0"/>
              <w:rPr>
                <w:rFonts w:hint="eastAsia"/>
                <w:color w:val="auto"/>
              </w:rPr>
            </w:pPr>
            <w:r>
              <w:rPr>
                <w:rFonts w:hint="eastAsia"/>
                <w:color w:val="auto"/>
              </w:rPr>
              <w:t>内隔墙非砌筑</w:t>
            </w:r>
          </w:p>
        </w:tc>
        <w:tc>
          <w:tcPr>
            <w:tcW w:w="805" w:type="pct"/>
            <w:vAlign w:val="center"/>
          </w:tcPr>
          <w:p>
            <w:pPr>
              <w:pStyle w:val="17"/>
              <w:bidi w:val="0"/>
              <w:rPr>
                <w:rFonts w:hint="eastAsia"/>
                <w:color w:val="auto"/>
              </w:rPr>
            </w:pPr>
            <w:r>
              <w:rPr>
                <w:rFonts w:hint="eastAsia"/>
                <w:color w:val="auto"/>
              </w:rPr>
              <w:t>比例≥50%</w:t>
            </w:r>
          </w:p>
        </w:tc>
        <w:tc>
          <w:tcPr>
            <w:tcW w:w="649" w:type="pct"/>
            <w:vAlign w:val="center"/>
          </w:tcPr>
          <w:p>
            <w:pPr>
              <w:pStyle w:val="17"/>
              <w:bidi w:val="0"/>
              <w:rPr>
                <w:rFonts w:hint="eastAsia"/>
                <w:color w:val="auto"/>
              </w:rPr>
            </w:pPr>
            <w:r>
              <w:rPr>
                <w:rFonts w:hint="eastAsia"/>
                <w:color w:val="auto"/>
              </w:rPr>
              <w:t>5</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r>
              <w:rPr>
                <w:rFonts w:hint="eastAsia"/>
                <w:color w:val="auto"/>
              </w:rPr>
              <w:t>≥50%</w:t>
            </w:r>
          </w:p>
        </w:tc>
        <w:tc>
          <w:tcPr>
            <w:tcW w:w="626" w:type="pct"/>
            <w:vAlign w:val="center"/>
          </w:tcPr>
          <w:p>
            <w:pPr>
              <w:pStyle w:val="17"/>
              <w:bidi w:val="0"/>
              <w:rPr>
                <w:rFonts w:hint="eastAsia"/>
                <w:color w:val="auto"/>
              </w:rPr>
            </w:pPr>
            <w:r>
              <w:rPr>
                <w:rFonts w:hint="eastAsia"/>
                <w:color w:val="aut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850" w:type="pct"/>
            <w:vMerge w:val="restart"/>
            <w:vAlign w:val="center"/>
          </w:tcPr>
          <w:p>
            <w:pPr>
              <w:pStyle w:val="17"/>
              <w:bidi w:val="0"/>
              <w:rPr>
                <w:rFonts w:hint="eastAsia"/>
                <w:color w:val="auto"/>
              </w:rPr>
            </w:pPr>
            <w:r>
              <w:rPr>
                <w:rFonts w:hint="eastAsia"/>
                <w:color w:val="auto"/>
              </w:rPr>
              <w:t>内隔墙集成化</w:t>
            </w:r>
          </w:p>
        </w:tc>
        <w:tc>
          <w:tcPr>
            <w:tcW w:w="777" w:type="pct"/>
            <w:vAlign w:val="center"/>
          </w:tcPr>
          <w:p>
            <w:pPr>
              <w:pStyle w:val="17"/>
              <w:bidi w:val="0"/>
              <w:rPr>
                <w:rFonts w:hint="eastAsia"/>
                <w:color w:val="auto"/>
              </w:rPr>
            </w:pPr>
            <w:r>
              <w:rPr>
                <w:rFonts w:hint="eastAsia"/>
                <w:color w:val="auto"/>
              </w:rPr>
              <w:t>A、内隔墙与管线、装修一体化</w:t>
            </w:r>
          </w:p>
        </w:tc>
        <w:tc>
          <w:tcPr>
            <w:tcW w:w="805" w:type="pct"/>
            <w:vAlign w:val="center"/>
          </w:tcPr>
          <w:p>
            <w:pPr>
              <w:pStyle w:val="17"/>
              <w:bidi w:val="0"/>
              <w:rPr>
                <w:rFonts w:hint="eastAsia"/>
                <w:color w:val="auto"/>
              </w:rPr>
            </w:pPr>
            <w:r>
              <w:rPr>
                <w:rFonts w:hint="eastAsia"/>
                <w:color w:val="auto"/>
              </w:rPr>
              <w:t>50%≤比例≤80%</w:t>
            </w:r>
          </w:p>
        </w:tc>
        <w:tc>
          <w:tcPr>
            <w:tcW w:w="649" w:type="pct"/>
            <w:vAlign w:val="center"/>
          </w:tcPr>
          <w:p>
            <w:pPr>
              <w:pStyle w:val="17"/>
              <w:bidi w:val="0"/>
              <w:rPr>
                <w:rFonts w:hint="eastAsia"/>
                <w:color w:val="auto"/>
              </w:rPr>
            </w:pPr>
            <w:r>
              <w:rPr>
                <w:rFonts w:hint="eastAsia"/>
                <w:color w:val="auto"/>
              </w:rPr>
              <w:t>2～5*</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850" w:type="pct"/>
            <w:vMerge w:val="continue"/>
            <w:vAlign w:val="center"/>
          </w:tcPr>
          <w:p>
            <w:pPr>
              <w:pStyle w:val="17"/>
              <w:bidi w:val="0"/>
              <w:rPr>
                <w:rFonts w:hint="eastAsia"/>
                <w:color w:val="auto"/>
              </w:rPr>
            </w:pPr>
          </w:p>
        </w:tc>
        <w:tc>
          <w:tcPr>
            <w:tcW w:w="777" w:type="pct"/>
            <w:vAlign w:val="center"/>
          </w:tcPr>
          <w:p>
            <w:pPr>
              <w:pStyle w:val="17"/>
              <w:bidi w:val="0"/>
              <w:rPr>
                <w:rFonts w:hint="eastAsia"/>
                <w:color w:val="auto"/>
              </w:rPr>
            </w:pPr>
            <w:r>
              <w:rPr>
                <w:rFonts w:hint="eastAsia"/>
                <w:color w:val="auto"/>
              </w:rPr>
              <w:t>B、内隔墙与管线一体化</w:t>
            </w:r>
          </w:p>
        </w:tc>
        <w:tc>
          <w:tcPr>
            <w:tcW w:w="805" w:type="pct"/>
            <w:vAlign w:val="center"/>
          </w:tcPr>
          <w:p>
            <w:pPr>
              <w:pStyle w:val="17"/>
              <w:bidi w:val="0"/>
              <w:rPr>
                <w:rFonts w:hint="eastAsia"/>
                <w:color w:val="auto"/>
              </w:rPr>
            </w:pPr>
            <w:r>
              <w:rPr>
                <w:rFonts w:hint="eastAsia"/>
                <w:color w:val="auto"/>
              </w:rPr>
              <w:t>50%≤比例≤80%</w:t>
            </w:r>
          </w:p>
        </w:tc>
        <w:tc>
          <w:tcPr>
            <w:tcW w:w="649" w:type="pct"/>
            <w:vAlign w:val="center"/>
          </w:tcPr>
          <w:p>
            <w:pPr>
              <w:pStyle w:val="17"/>
              <w:bidi w:val="0"/>
              <w:rPr>
                <w:rFonts w:hint="eastAsia"/>
                <w:color w:val="auto"/>
              </w:rPr>
            </w:pPr>
            <w:r>
              <w:rPr>
                <w:rFonts w:hint="eastAsia"/>
                <w:color w:val="auto"/>
              </w:rPr>
              <w:t>1.4~3.5*</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r>
              <w:rPr>
                <w:rFonts w:hint="eastAsia"/>
                <w:color w:val="auto"/>
              </w:rPr>
              <w:t>≥55%</w:t>
            </w:r>
          </w:p>
        </w:tc>
        <w:tc>
          <w:tcPr>
            <w:tcW w:w="626" w:type="pct"/>
            <w:vAlign w:val="center"/>
          </w:tcPr>
          <w:p>
            <w:pPr>
              <w:pStyle w:val="17"/>
              <w:bidi w:val="0"/>
              <w:rPr>
                <w:rFonts w:hint="eastAsia"/>
                <w:color w:val="auto"/>
              </w:rPr>
            </w:pPr>
            <w:r>
              <w:rPr>
                <w:rFonts w:hint="eastAsia"/>
                <w:color w:val="aut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restart"/>
            <w:vAlign w:val="center"/>
          </w:tcPr>
          <w:p>
            <w:pPr>
              <w:pStyle w:val="17"/>
              <w:bidi w:val="0"/>
              <w:rPr>
                <w:rFonts w:hint="eastAsia"/>
                <w:color w:val="auto"/>
              </w:rPr>
            </w:pPr>
            <w:r>
              <w:rPr>
                <w:rFonts w:hint="eastAsia"/>
                <w:color w:val="auto"/>
              </w:rPr>
              <w:t>装修和设备管线Q3（20分）</w:t>
            </w:r>
          </w:p>
        </w:tc>
        <w:tc>
          <w:tcPr>
            <w:tcW w:w="850" w:type="pct"/>
            <w:vMerge w:val="restart"/>
            <w:vAlign w:val="center"/>
          </w:tcPr>
          <w:p>
            <w:pPr>
              <w:pStyle w:val="17"/>
              <w:bidi w:val="0"/>
              <w:rPr>
                <w:rFonts w:hint="eastAsia"/>
                <w:color w:val="auto"/>
              </w:rPr>
            </w:pPr>
            <w:r>
              <w:rPr>
                <w:rFonts w:hint="eastAsia"/>
                <w:color w:val="auto"/>
              </w:rPr>
              <w:t>全装修</w:t>
            </w:r>
          </w:p>
        </w:tc>
        <w:tc>
          <w:tcPr>
            <w:tcW w:w="777" w:type="pct"/>
            <w:vAlign w:val="center"/>
          </w:tcPr>
          <w:p>
            <w:pPr>
              <w:pStyle w:val="17"/>
              <w:bidi w:val="0"/>
              <w:rPr>
                <w:rFonts w:hint="eastAsia"/>
                <w:color w:val="auto"/>
              </w:rPr>
            </w:pPr>
            <w:r>
              <w:rPr>
                <w:rFonts w:hint="eastAsia"/>
                <w:color w:val="auto"/>
              </w:rPr>
              <w:t>A、全装修</w:t>
            </w:r>
          </w:p>
        </w:tc>
        <w:tc>
          <w:tcPr>
            <w:tcW w:w="805" w:type="pct"/>
            <w:vAlign w:val="center"/>
          </w:tcPr>
          <w:p>
            <w:pPr>
              <w:pStyle w:val="17"/>
              <w:bidi w:val="0"/>
              <w:rPr>
                <w:rFonts w:hint="eastAsia"/>
                <w:color w:val="auto"/>
              </w:rPr>
            </w:pPr>
            <w:r>
              <w:rPr>
                <w:rFonts w:hint="eastAsia"/>
                <w:color w:val="auto"/>
              </w:rPr>
              <w:t>─</w:t>
            </w:r>
          </w:p>
        </w:tc>
        <w:tc>
          <w:tcPr>
            <w:tcW w:w="649" w:type="pct"/>
            <w:vAlign w:val="center"/>
          </w:tcPr>
          <w:p>
            <w:pPr>
              <w:pStyle w:val="17"/>
              <w:bidi w:val="0"/>
              <w:rPr>
                <w:rFonts w:hint="eastAsia"/>
                <w:color w:val="auto"/>
              </w:rPr>
            </w:pPr>
            <w:r>
              <w:rPr>
                <w:rFonts w:hint="eastAsia"/>
                <w:color w:val="auto"/>
              </w:rPr>
              <w:t>6</w:t>
            </w:r>
          </w:p>
        </w:tc>
        <w:tc>
          <w:tcPr>
            <w:tcW w:w="417" w:type="pct"/>
            <w:vMerge w:val="restart"/>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r>
              <w:rPr>
                <w:rFonts w:hint="eastAsia"/>
                <w:color w:val="auto"/>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850" w:type="pct"/>
            <w:vMerge w:val="continue"/>
            <w:vAlign w:val="center"/>
          </w:tcPr>
          <w:p>
            <w:pPr>
              <w:pStyle w:val="17"/>
              <w:bidi w:val="0"/>
              <w:rPr>
                <w:rFonts w:hint="eastAsia"/>
                <w:color w:val="auto"/>
              </w:rPr>
            </w:pPr>
          </w:p>
        </w:tc>
        <w:tc>
          <w:tcPr>
            <w:tcW w:w="777" w:type="pct"/>
            <w:vAlign w:val="center"/>
          </w:tcPr>
          <w:p>
            <w:pPr>
              <w:pStyle w:val="17"/>
              <w:bidi w:val="0"/>
              <w:rPr>
                <w:rFonts w:hint="eastAsia"/>
                <w:color w:val="auto"/>
              </w:rPr>
            </w:pPr>
            <w:r>
              <w:rPr>
                <w:rFonts w:hint="eastAsia"/>
                <w:color w:val="auto"/>
              </w:rPr>
              <w:t>B、公共建筑中仅公区和确定使用功能区域装修</w:t>
            </w:r>
          </w:p>
        </w:tc>
        <w:tc>
          <w:tcPr>
            <w:tcW w:w="805" w:type="pct"/>
            <w:vAlign w:val="center"/>
          </w:tcPr>
          <w:p>
            <w:pPr>
              <w:pStyle w:val="17"/>
              <w:bidi w:val="0"/>
              <w:rPr>
                <w:rFonts w:hint="eastAsia"/>
                <w:color w:val="auto"/>
              </w:rPr>
            </w:pPr>
            <w:r>
              <w:rPr>
                <w:rFonts w:hint="eastAsia"/>
                <w:color w:val="auto"/>
              </w:rPr>
              <w:t>─</w:t>
            </w:r>
          </w:p>
        </w:tc>
        <w:tc>
          <w:tcPr>
            <w:tcW w:w="649" w:type="pct"/>
            <w:vAlign w:val="center"/>
          </w:tcPr>
          <w:p>
            <w:pPr>
              <w:pStyle w:val="17"/>
              <w:bidi w:val="0"/>
              <w:rPr>
                <w:rFonts w:hint="eastAsia"/>
                <w:color w:val="auto"/>
              </w:rPr>
            </w:pPr>
            <w:r>
              <w:rPr>
                <w:rFonts w:hint="eastAsia"/>
                <w:color w:val="auto"/>
              </w:rPr>
              <w:t>3</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1628" w:type="pct"/>
            <w:gridSpan w:val="2"/>
            <w:vAlign w:val="center"/>
          </w:tcPr>
          <w:p>
            <w:pPr>
              <w:pStyle w:val="17"/>
              <w:bidi w:val="0"/>
              <w:rPr>
                <w:rFonts w:hint="eastAsia"/>
                <w:color w:val="auto"/>
              </w:rPr>
            </w:pPr>
            <w:r>
              <w:rPr>
                <w:rFonts w:hint="eastAsia"/>
                <w:color w:val="auto"/>
              </w:rPr>
              <w:t>干式工法的楼面、地面</w:t>
            </w:r>
          </w:p>
        </w:tc>
        <w:tc>
          <w:tcPr>
            <w:tcW w:w="805" w:type="pct"/>
            <w:vAlign w:val="center"/>
          </w:tcPr>
          <w:p>
            <w:pPr>
              <w:pStyle w:val="17"/>
              <w:bidi w:val="0"/>
              <w:rPr>
                <w:rFonts w:hint="eastAsia"/>
                <w:color w:val="auto"/>
              </w:rPr>
            </w:pPr>
            <w:r>
              <w:rPr>
                <w:rFonts w:hint="eastAsia"/>
                <w:color w:val="auto"/>
              </w:rPr>
              <w:t>50%≤比例≤70%</w:t>
            </w:r>
          </w:p>
        </w:tc>
        <w:tc>
          <w:tcPr>
            <w:tcW w:w="649" w:type="pct"/>
            <w:vAlign w:val="center"/>
          </w:tcPr>
          <w:p>
            <w:pPr>
              <w:pStyle w:val="17"/>
              <w:bidi w:val="0"/>
              <w:rPr>
                <w:rFonts w:hint="eastAsia"/>
                <w:color w:val="auto"/>
              </w:rPr>
            </w:pPr>
            <w:r>
              <w:rPr>
                <w:rFonts w:hint="eastAsia"/>
                <w:color w:val="auto"/>
              </w:rPr>
              <w:t>2～4*</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1628" w:type="pct"/>
            <w:gridSpan w:val="2"/>
            <w:vAlign w:val="center"/>
          </w:tcPr>
          <w:p>
            <w:pPr>
              <w:pStyle w:val="17"/>
              <w:bidi w:val="0"/>
              <w:rPr>
                <w:rFonts w:hint="eastAsia"/>
                <w:color w:val="auto"/>
              </w:rPr>
            </w:pPr>
            <w:r>
              <w:rPr>
                <w:rFonts w:hint="eastAsia"/>
                <w:color w:val="auto"/>
              </w:rPr>
              <w:t>集成厨房</w:t>
            </w:r>
          </w:p>
        </w:tc>
        <w:tc>
          <w:tcPr>
            <w:tcW w:w="805" w:type="pct"/>
            <w:vAlign w:val="center"/>
          </w:tcPr>
          <w:p>
            <w:pPr>
              <w:pStyle w:val="17"/>
              <w:bidi w:val="0"/>
              <w:rPr>
                <w:rFonts w:hint="eastAsia"/>
                <w:color w:val="auto"/>
              </w:rPr>
            </w:pPr>
            <w:r>
              <w:rPr>
                <w:rFonts w:hint="eastAsia"/>
                <w:color w:val="auto"/>
              </w:rPr>
              <w:t>比例≥70%</w:t>
            </w:r>
          </w:p>
        </w:tc>
        <w:tc>
          <w:tcPr>
            <w:tcW w:w="649" w:type="pct"/>
            <w:vAlign w:val="center"/>
          </w:tcPr>
          <w:p>
            <w:pPr>
              <w:pStyle w:val="17"/>
              <w:bidi w:val="0"/>
              <w:rPr>
                <w:rFonts w:hint="eastAsia"/>
                <w:color w:val="auto"/>
              </w:rPr>
            </w:pPr>
            <w:r>
              <w:rPr>
                <w:rFonts w:hint="eastAsia"/>
                <w:color w:val="auto"/>
              </w:rPr>
              <w:t>3</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1628" w:type="pct"/>
            <w:gridSpan w:val="2"/>
            <w:vAlign w:val="center"/>
          </w:tcPr>
          <w:p>
            <w:pPr>
              <w:pStyle w:val="17"/>
              <w:bidi w:val="0"/>
              <w:rPr>
                <w:rFonts w:hint="eastAsia"/>
                <w:color w:val="auto"/>
              </w:rPr>
            </w:pPr>
            <w:r>
              <w:rPr>
                <w:rFonts w:hint="eastAsia"/>
                <w:color w:val="auto"/>
              </w:rPr>
              <w:t>集成卫生间</w:t>
            </w:r>
          </w:p>
        </w:tc>
        <w:tc>
          <w:tcPr>
            <w:tcW w:w="805" w:type="pct"/>
            <w:vAlign w:val="center"/>
          </w:tcPr>
          <w:p>
            <w:pPr>
              <w:pStyle w:val="17"/>
              <w:bidi w:val="0"/>
              <w:rPr>
                <w:rFonts w:hint="eastAsia"/>
                <w:color w:val="auto"/>
              </w:rPr>
            </w:pPr>
            <w:r>
              <w:rPr>
                <w:rFonts w:hint="eastAsia"/>
                <w:color w:val="auto"/>
              </w:rPr>
              <w:t>比例≥70%</w:t>
            </w:r>
          </w:p>
        </w:tc>
        <w:tc>
          <w:tcPr>
            <w:tcW w:w="649" w:type="pct"/>
            <w:vAlign w:val="center"/>
          </w:tcPr>
          <w:p>
            <w:pPr>
              <w:pStyle w:val="17"/>
              <w:bidi w:val="0"/>
              <w:rPr>
                <w:rFonts w:hint="eastAsia"/>
                <w:color w:val="auto"/>
              </w:rPr>
            </w:pPr>
            <w:r>
              <w:rPr>
                <w:rFonts w:hint="eastAsia"/>
                <w:color w:val="auto"/>
              </w:rPr>
              <w:t>3</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1628" w:type="pct"/>
            <w:gridSpan w:val="2"/>
            <w:vAlign w:val="center"/>
          </w:tcPr>
          <w:p>
            <w:pPr>
              <w:pStyle w:val="17"/>
              <w:bidi w:val="0"/>
              <w:rPr>
                <w:rFonts w:hint="eastAsia"/>
                <w:color w:val="auto"/>
              </w:rPr>
            </w:pPr>
            <w:r>
              <w:rPr>
                <w:rFonts w:hint="eastAsia"/>
                <w:color w:val="auto"/>
              </w:rPr>
              <w:t>管线分离</w:t>
            </w:r>
          </w:p>
        </w:tc>
        <w:tc>
          <w:tcPr>
            <w:tcW w:w="805" w:type="pct"/>
            <w:vAlign w:val="center"/>
          </w:tcPr>
          <w:p>
            <w:pPr>
              <w:pStyle w:val="17"/>
              <w:bidi w:val="0"/>
              <w:rPr>
                <w:rFonts w:hint="eastAsia"/>
                <w:color w:val="auto"/>
              </w:rPr>
            </w:pPr>
            <w:r>
              <w:rPr>
                <w:rFonts w:hint="eastAsia"/>
                <w:color w:val="auto"/>
              </w:rPr>
              <w:t>比例≥50%</w:t>
            </w:r>
          </w:p>
        </w:tc>
        <w:tc>
          <w:tcPr>
            <w:tcW w:w="649" w:type="pct"/>
            <w:vAlign w:val="center"/>
          </w:tcPr>
          <w:p>
            <w:pPr>
              <w:pStyle w:val="17"/>
              <w:bidi w:val="0"/>
              <w:rPr>
                <w:rFonts w:hint="eastAsia"/>
                <w:color w:val="auto"/>
              </w:rPr>
            </w:pPr>
            <w:r>
              <w:rPr>
                <w:rFonts w:hint="eastAsia"/>
                <w:color w:val="auto"/>
              </w:rPr>
              <w:t>4</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r>
              <w:rPr>
                <w:rFonts w:hint="eastAsia"/>
                <w:color w:val="aut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restart"/>
            <w:vAlign w:val="center"/>
          </w:tcPr>
          <w:p>
            <w:pPr>
              <w:pStyle w:val="17"/>
              <w:bidi w:val="0"/>
              <w:rPr>
                <w:rFonts w:hint="eastAsia"/>
                <w:color w:val="auto"/>
              </w:rPr>
            </w:pPr>
            <w:r>
              <w:rPr>
                <w:rFonts w:hint="eastAsia"/>
                <w:color w:val="auto"/>
              </w:rPr>
              <w:t>标准化、信息化、智能化应用Q4（10分）</w:t>
            </w:r>
          </w:p>
        </w:tc>
        <w:tc>
          <w:tcPr>
            <w:tcW w:w="850" w:type="pct"/>
            <w:vMerge w:val="restart"/>
            <w:vAlign w:val="center"/>
          </w:tcPr>
          <w:p>
            <w:pPr>
              <w:pStyle w:val="17"/>
              <w:bidi w:val="0"/>
              <w:rPr>
                <w:rFonts w:hint="eastAsia"/>
                <w:color w:val="auto"/>
              </w:rPr>
            </w:pPr>
            <w:r>
              <w:rPr>
                <w:rFonts w:hint="eastAsia"/>
                <w:color w:val="auto"/>
              </w:rPr>
              <w:t>标准化设计</w:t>
            </w:r>
          </w:p>
        </w:tc>
        <w:tc>
          <w:tcPr>
            <w:tcW w:w="777" w:type="pct"/>
            <w:vAlign w:val="center"/>
          </w:tcPr>
          <w:p>
            <w:pPr>
              <w:pStyle w:val="17"/>
              <w:bidi w:val="0"/>
              <w:rPr>
                <w:rFonts w:hint="eastAsia"/>
                <w:color w:val="auto"/>
              </w:rPr>
            </w:pPr>
            <w:r>
              <w:rPr>
                <w:rFonts w:hint="eastAsia"/>
                <w:color w:val="auto"/>
              </w:rPr>
              <w:t>A、平面布置标准化</w:t>
            </w:r>
          </w:p>
        </w:tc>
        <w:tc>
          <w:tcPr>
            <w:tcW w:w="805" w:type="pct"/>
            <w:vAlign w:val="center"/>
          </w:tcPr>
          <w:p>
            <w:pPr>
              <w:pStyle w:val="17"/>
              <w:bidi w:val="0"/>
              <w:rPr>
                <w:rFonts w:hint="eastAsia"/>
                <w:color w:val="auto"/>
              </w:rPr>
            </w:pPr>
            <w:r>
              <w:rPr>
                <w:rFonts w:hint="eastAsia"/>
                <w:color w:val="auto"/>
              </w:rPr>
              <w:t>比例≥50%</w:t>
            </w:r>
          </w:p>
        </w:tc>
        <w:tc>
          <w:tcPr>
            <w:tcW w:w="649" w:type="pct"/>
            <w:vAlign w:val="center"/>
          </w:tcPr>
          <w:p>
            <w:pPr>
              <w:pStyle w:val="17"/>
              <w:bidi w:val="0"/>
              <w:rPr>
                <w:rFonts w:hint="eastAsia"/>
                <w:color w:val="auto"/>
              </w:rPr>
            </w:pPr>
            <w:r>
              <w:rPr>
                <w:rFonts w:hint="eastAsia"/>
                <w:color w:val="auto"/>
              </w:rPr>
              <w:t>2</w:t>
            </w:r>
          </w:p>
        </w:tc>
        <w:tc>
          <w:tcPr>
            <w:tcW w:w="417" w:type="pct"/>
            <w:vMerge w:val="restart"/>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850" w:type="pct"/>
            <w:vMerge w:val="continue"/>
            <w:vAlign w:val="center"/>
          </w:tcPr>
          <w:p>
            <w:pPr>
              <w:pStyle w:val="17"/>
              <w:bidi w:val="0"/>
              <w:rPr>
                <w:rFonts w:hint="eastAsia"/>
                <w:color w:val="auto"/>
              </w:rPr>
            </w:pPr>
          </w:p>
        </w:tc>
        <w:tc>
          <w:tcPr>
            <w:tcW w:w="777" w:type="pct"/>
            <w:vAlign w:val="center"/>
          </w:tcPr>
          <w:p>
            <w:pPr>
              <w:pStyle w:val="17"/>
              <w:bidi w:val="0"/>
              <w:rPr>
                <w:rFonts w:hint="eastAsia"/>
                <w:color w:val="auto"/>
              </w:rPr>
            </w:pPr>
            <w:r>
              <w:rPr>
                <w:rFonts w:hint="eastAsia"/>
                <w:color w:val="auto"/>
              </w:rPr>
              <w:t>B、部品部件标准化</w:t>
            </w:r>
          </w:p>
        </w:tc>
        <w:tc>
          <w:tcPr>
            <w:tcW w:w="805" w:type="pct"/>
            <w:vAlign w:val="center"/>
          </w:tcPr>
          <w:p>
            <w:pPr>
              <w:pStyle w:val="17"/>
              <w:bidi w:val="0"/>
              <w:rPr>
                <w:rFonts w:hint="eastAsia"/>
                <w:color w:val="auto"/>
              </w:rPr>
            </w:pPr>
            <w:r>
              <w:rPr>
                <w:rFonts w:hint="eastAsia"/>
                <w:color w:val="auto"/>
              </w:rPr>
              <w:t>50%≤比例≤70%</w:t>
            </w:r>
          </w:p>
        </w:tc>
        <w:tc>
          <w:tcPr>
            <w:tcW w:w="649" w:type="pct"/>
            <w:vAlign w:val="center"/>
          </w:tcPr>
          <w:p>
            <w:pPr>
              <w:pStyle w:val="17"/>
              <w:bidi w:val="0"/>
              <w:rPr>
                <w:rFonts w:hint="eastAsia"/>
                <w:color w:val="auto"/>
              </w:rPr>
            </w:pPr>
            <w:r>
              <w:rPr>
                <w:rFonts w:hint="eastAsia"/>
                <w:color w:val="auto"/>
              </w:rPr>
              <w:t>3～5*</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r>
              <w:rPr>
                <w:rFonts w:hint="eastAsia"/>
                <w:color w:val="auto"/>
              </w:rPr>
              <w:t>≥70%</w:t>
            </w:r>
          </w:p>
        </w:tc>
        <w:tc>
          <w:tcPr>
            <w:tcW w:w="626" w:type="pct"/>
            <w:vAlign w:val="center"/>
          </w:tcPr>
          <w:p>
            <w:pPr>
              <w:pStyle w:val="17"/>
              <w:bidi w:val="0"/>
              <w:rPr>
                <w:rFonts w:hint="eastAsia"/>
                <w:color w:val="auto"/>
              </w:rPr>
            </w:pPr>
            <w:r>
              <w:rPr>
                <w:rFonts w:hint="eastAsia"/>
                <w:color w:val="aut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850" w:type="pct"/>
            <w:vAlign w:val="center"/>
          </w:tcPr>
          <w:p>
            <w:pPr>
              <w:pStyle w:val="17"/>
              <w:bidi w:val="0"/>
              <w:rPr>
                <w:rFonts w:hint="eastAsia"/>
                <w:color w:val="auto"/>
              </w:rPr>
            </w:pPr>
            <w:r>
              <w:rPr>
                <w:rFonts w:hint="eastAsia"/>
                <w:color w:val="auto"/>
              </w:rPr>
              <w:t>智能建造平台应用</w:t>
            </w:r>
          </w:p>
        </w:tc>
        <w:tc>
          <w:tcPr>
            <w:tcW w:w="777" w:type="pct"/>
            <w:vAlign w:val="center"/>
          </w:tcPr>
          <w:p>
            <w:pPr>
              <w:pStyle w:val="17"/>
              <w:bidi w:val="0"/>
              <w:rPr>
                <w:rFonts w:hint="eastAsia"/>
                <w:color w:val="auto"/>
              </w:rPr>
            </w:pPr>
            <w:r>
              <w:rPr>
                <w:rFonts w:hint="eastAsia"/>
                <w:color w:val="auto"/>
              </w:rPr>
              <w:t>项目全流程采用湖南</w:t>
            </w:r>
          </w:p>
          <w:p>
            <w:pPr>
              <w:pStyle w:val="17"/>
              <w:bidi w:val="0"/>
              <w:rPr>
                <w:rFonts w:hint="eastAsia"/>
                <w:color w:val="auto"/>
              </w:rPr>
            </w:pPr>
            <w:r>
              <w:rPr>
                <w:rFonts w:hint="eastAsia"/>
                <w:color w:val="auto"/>
              </w:rPr>
              <w:t>省装配式全产业链智</w:t>
            </w:r>
          </w:p>
          <w:p>
            <w:pPr>
              <w:pStyle w:val="17"/>
              <w:bidi w:val="0"/>
              <w:rPr>
                <w:rFonts w:hint="eastAsia"/>
                <w:color w:val="auto"/>
              </w:rPr>
            </w:pPr>
            <w:r>
              <w:rPr>
                <w:rFonts w:hint="eastAsia"/>
                <w:color w:val="auto"/>
              </w:rPr>
              <w:t>能建造平台</w:t>
            </w:r>
          </w:p>
        </w:tc>
        <w:tc>
          <w:tcPr>
            <w:tcW w:w="805" w:type="pct"/>
            <w:vAlign w:val="center"/>
          </w:tcPr>
          <w:p>
            <w:pPr>
              <w:pStyle w:val="17"/>
              <w:bidi w:val="0"/>
              <w:rPr>
                <w:rFonts w:hint="eastAsia"/>
                <w:color w:val="auto"/>
              </w:rPr>
            </w:pPr>
          </w:p>
        </w:tc>
        <w:tc>
          <w:tcPr>
            <w:tcW w:w="649" w:type="pct"/>
            <w:vAlign w:val="center"/>
          </w:tcPr>
          <w:p>
            <w:pPr>
              <w:pStyle w:val="17"/>
              <w:bidi w:val="0"/>
              <w:rPr>
                <w:rFonts w:hint="eastAsia"/>
                <w:color w:val="auto"/>
              </w:rPr>
            </w:pPr>
            <w:r>
              <w:rPr>
                <w:rFonts w:hint="eastAsia"/>
                <w:color w:val="auto"/>
              </w:rPr>
              <w:t>2</w:t>
            </w:r>
          </w:p>
        </w:tc>
        <w:tc>
          <w:tcPr>
            <w:tcW w:w="417" w:type="pct"/>
            <w:vMerge w:val="continue"/>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r>
              <w:rPr>
                <w:rFonts w:hint="eastAsia"/>
                <w:color w:val="aut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Align w:val="center"/>
          </w:tcPr>
          <w:p>
            <w:pPr>
              <w:pStyle w:val="17"/>
              <w:bidi w:val="0"/>
              <w:rPr>
                <w:rFonts w:hint="eastAsia"/>
                <w:color w:val="auto"/>
              </w:rPr>
            </w:pPr>
          </w:p>
        </w:tc>
        <w:tc>
          <w:tcPr>
            <w:tcW w:w="850" w:type="pct"/>
            <w:vAlign w:val="center"/>
          </w:tcPr>
          <w:p>
            <w:pPr>
              <w:pStyle w:val="17"/>
              <w:bidi w:val="0"/>
              <w:rPr>
                <w:rFonts w:hint="eastAsia"/>
                <w:color w:val="auto"/>
              </w:rPr>
            </w:pPr>
            <w:r>
              <w:rPr>
                <w:rFonts w:hint="eastAsia"/>
                <w:color w:val="auto"/>
              </w:rPr>
              <w:t>BIM技术与信息化管理应用</w:t>
            </w:r>
          </w:p>
        </w:tc>
        <w:tc>
          <w:tcPr>
            <w:tcW w:w="777" w:type="pct"/>
            <w:vAlign w:val="center"/>
          </w:tcPr>
          <w:p>
            <w:pPr>
              <w:pStyle w:val="17"/>
              <w:bidi w:val="0"/>
              <w:rPr>
                <w:rFonts w:hint="eastAsia"/>
                <w:color w:val="auto"/>
              </w:rPr>
            </w:pPr>
            <w:r>
              <w:rPr>
                <w:rFonts w:hint="eastAsia"/>
                <w:color w:val="auto"/>
              </w:rPr>
              <w:t>设计阶段应用BIM技术</w:t>
            </w:r>
          </w:p>
        </w:tc>
        <w:tc>
          <w:tcPr>
            <w:tcW w:w="805" w:type="pct"/>
            <w:vAlign w:val="center"/>
          </w:tcPr>
          <w:p>
            <w:pPr>
              <w:pStyle w:val="17"/>
              <w:bidi w:val="0"/>
              <w:rPr>
                <w:rFonts w:hint="eastAsia"/>
                <w:color w:val="auto"/>
              </w:rPr>
            </w:pPr>
            <w:r>
              <w:rPr>
                <w:rFonts w:hint="eastAsia"/>
                <w:color w:val="auto"/>
              </w:rPr>
              <w:t>BIM文件</w:t>
            </w:r>
          </w:p>
          <w:p>
            <w:pPr>
              <w:pStyle w:val="17"/>
              <w:bidi w:val="0"/>
              <w:rPr>
                <w:rFonts w:hint="eastAsia"/>
                <w:color w:val="auto"/>
              </w:rPr>
            </w:pPr>
            <w:r>
              <w:rPr>
                <w:rFonts w:hint="eastAsia"/>
                <w:color w:val="auto"/>
              </w:rPr>
              <w:t>通过施工</w:t>
            </w:r>
          </w:p>
          <w:p>
            <w:pPr>
              <w:pStyle w:val="17"/>
              <w:bidi w:val="0"/>
              <w:rPr>
                <w:rFonts w:hint="eastAsia"/>
                <w:color w:val="auto"/>
              </w:rPr>
            </w:pPr>
            <w:r>
              <w:rPr>
                <w:rFonts w:hint="eastAsia"/>
                <w:color w:val="auto"/>
              </w:rPr>
              <w:t>图审查</w:t>
            </w:r>
          </w:p>
        </w:tc>
        <w:tc>
          <w:tcPr>
            <w:tcW w:w="649" w:type="pct"/>
            <w:vAlign w:val="center"/>
          </w:tcPr>
          <w:p>
            <w:pPr>
              <w:pStyle w:val="17"/>
              <w:bidi w:val="0"/>
              <w:rPr>
                <w:rFonts w:hint="eastAsia"/>
                <w:color w:val="auto"/>
              </w:rPr>
            </w:pPr>
            <w:r>
              <w:rPr>
                <w:rFonts w:hint="eastAsia"/>
                <w:color w:val="auto"/>
              </w:rPr>
              <w:t>3</w:t>
            </w:r>
          </w:p>
        </w:tc>
        <w:tc>
          <w:tcPr>
            <w:tcW w:w="417" w:type="pct"/>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restart"/>
            <w:vAlign w:val="center"/>
          </w:tcPr>
          <w:p>
            <w:pPr>
              <w:pStyle w:val="17"/>
              <w:bidi w:val="0"/>
              <w:rPr>
                <w:rFonts w:hint="eastAsia"/>
                <w:color w:val="auto"/>
              </w:rPr>
            </w:pPr>
            <w:r>
              <w:rPr>
                <w:rFonts w:hint="eastAsia"/>
                <w:color w:val="auto"/>
              </w:rPr>
              <w:t>加分项Q5（6分）</w:t>
            </w:r>
          </w:p>
        </w:tc>
        <w:tc>
          <w:tcPr>
            <w:tcW w:w="850" w:type="pct"/>
            <w:vMerge w:val="restart"/>
            <w:vAlign w:val="center"/>
          </w:tcPr>
          <w:p>
            <w:pPr>
              <w:pStyle w:val="17"/>
              <w:bidi w:val="0"/>
              <w:rPr>
                <w:rFonts w:hint="eastAsia"/>
                <w:color w:val="auto"/>
              </w:rPr>
            </w:pPr>
            <w:r>
              <w:rPr>
                <w:rFonts w:hint="eastAsia"/>
                <w:color w:val="auto"/>
              </w:rPr>
              <w:t>采用产品化建造方式</w:t>
            </w:r>
          </w:p>
        </w:tc>
        <w:tc>
          <w:tcPr>
            <w:tcW w:w="777" w:type="pct"/>
            <w:vAlign w:val="center"/>
          </w:tcPr>
          <w:p>
            <w:pPr>
              <w:pStyle w:val="17"/>
              <w:bidi w:val="0"/>
              <w:rPr>
                <w:rFonts w:hint="eastAsia"/>
                <w:color w:val="auto"/>
              </w:rPr>
            </w:pPr>
            <w:r>
              <w:rPr>
                <w:rFonts w:hint="eastAsia"/>
                <w:color w:val="auto"/>
              </w:rPr>
              <w:t>采用工程总承包、全</w:t>
            </w:r>
          </w:p>
          <w:p>
            <w:pPr>
              <w:pStyle w:val="17"/>
              <w:bidi w:val="0"/>
              <w:rPr>
                <w:rFonts w:hint="eastAsia"/>
                <w:color w:val="auto"/>
              </w:rPr>
            </w:pPr>
            <w:r>
              <w:rPr>
                <w:rFonts w:hint="eastAsia"/>
                <w:color w:val="auto"/>
              </w:rPr>
              <w:t>过程工程咨询、建筑</w:t>
            </w:r>
          </w:p>
          <w:p>
            <w:pPr>
              <w:pStyle w:val="17"/>
              <w:bidi w:val="0"/>
              <w:rPr>
                <w:rFonts w:hint="eastAsia"/>
                <w:color w:val="auto"/>
              </w:rPr>
            </w:pPr>
            <w:r>
              <w:rPr>
                <w:rFonts w:hint="eastAsia"/>
                <w:color w:val="auto"/>
              </w:rPr>
              <w:t>师负责制等一体化工程组织模式</w:t>
            </w:r>
          </w:p>
        </w:tc>
        <w:tc>
          <w:tcPr>
            <w:tcW w:w="805" w:type="pct"/>
            <w:vAlign w:val="center"/>
          </w:tcPr>
          <w:p>
            <w:pPr>
              <w:pStyle w:val="17"/>
              <w:bidi w:val="0"/>
              <w:rPr>
                <w:rFonts w:hint="eastAsia"/>
                <w:color w:val="auto"/>
              </w:rPr>
            </w:pPr>
            <w:r>
              <w:rPr>
                <w:rFonts w:hint="eastAsia"/>
                <w:color w:val="auto"/>
              </w:rPr>
              <w:t>—</w:t>
            </w:r>
          </w:p>
        </w:tc>
        <w:tc>
          <w:tcPr>
            <w:tcW w:w="649" w:type="pct"/>
            <w:vAlign w:val="center"/>
          </w:tcPr>
          <w:p>
            <w:pPr>
              <w:pStyle w:val="17"/>
              <w:bidi w:val="0"/>
              <w:rPr>
                <w:rFonts w:hint="eastAsia"/>
                <w:color w:val="auto"/>
              </w:rPr>
            </w:pPr>
            <w:r>
              <w:rPr>
                <w:rFonts w:hint="eastAsia"/>
                <w:color w:val="auto"/>
              </w:rPr>
              <w:t>2</w:t>
            </w:r>
          </w:p>
        </w:tc>
        <w:tc>
          <w:tcPr>
            <w:tcW w:w="417" w:type="pct"/>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r>
              <w:rPr>
                <w:rFonts w:hint="eastAsia"/>
                <w:color w:val="aut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850" w:type="pct"/>
            <w:vMerge w:val="continue"/>
            <w:vAlign w:val="center"/>
          </w:tcPr>
          <w:p>
            <w:pPr>
              <w:pStyle w:val="17"/>
              <w:bidi w:val="0"/>
              <w:rPr>
                <w:rFonts w:hint="eastAsia"/>
                <w:color w:val="auto"/>
              </w:rPr>
            </w:pPr>
          </w:p>
        </w:tc>
        <w:tc>
          <w:tcPr>
            <w:tcW w:w="777" w:type="pct"/>
            <w:vAlign w:val="center"/>
          </w:tcPr>
          <w:p>
            <w:pPr>
              <w:pStyle w:val="17"/>
              <w:bidi w:val="0"/>
              <w:rPr>
                <w:rFonts w:hint="eastAsia"/>
                <w:color w:val="auto"/>
              </w:rPr>
            </w:pPr>
            <w:r>
              <w:rPr>
                <w:rFonts w:hint="eastAsia"/>
                <w:color w:val="auto"/>
              </w:rPr>
              <w:t>采用模块化的建筑产品交付模式</w:t>
            </w:r>
          </w:p>
        </w:tc>
        <w:tc>
          <w:tcPr>
            <w:tcW w:w="805" w:type="pct"/>
            <w:vAlign w:val="center"/>
          </w:tcPr>
          <w:p>
            <w:pPr>
              <w:pStyle w:val="17"/>
              <w:bidi w:val="0"/>
              <w:rPr>
                <w:rFonts w:hint="eastAsia"/>
                <w:color w:val="auto"/>
              </w:rPr>
            </w:pPr>
          </w:p>
          <w:p>
            <w:pPr>
              <w:pStyle w:val="17"/>
              <w:bidi w:val="0"/>
              <w:rPr>
                <w:rFonts w:hint="eastAsia"/>
                <w:color w:val="auto"/>
              </w:rPr>
            </w:pPr>
            <w:r>
              <w:rPr>
                <w:rFonts w:hint="eastAsia"/>
                <w:color w:val="auto"/>
              </w:rPr>
              <w:t>—</w:t>
            </w:r>
          </w:p>
        </w:tc>
        <w:tc>
          <w:tcPr>
            <w:tcW w:w="649" w:type="pct"/>
            <w:vAlign w:val="center"/>
          </w:tcPr>
          <w:p>
            <w:pPr>
              <w:pStyle w:val="17"/>
              <w:bidi w:val="0"/>
              <w:rPr>
                <w:rFonts w:hint="eastAsia"/>
                <w:color w:val="auto"/>
              </w:rPr>
            </w:pPr>
            <w:r>
              <w:rPr>
                <w:rFonts w:hint="eastAsia"/>
                <w:color w:val="auto"/>
              </w:rPr>
              <w:t>3</w:t>
            </w:r>
          </w:p>
        </w:tc>
        <w:tc>
          <w:tcPr>
            <w:tcW w:w="417" w:type="pct"/>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1628" w:type="pct"/>
            <w:gridSpan w:val="2"/>
            <w:vAlign w:val="center"/>
          </w:tcPr>
          <w:p>
            <w:pPr>
              <w:pStyle w:val="17"/>
              <w:bidi w:val="0"/>
              <w:rPr>
                <w:rFonts w:hint="eastAsia"/>
                <w:color w:val="auto"/>
              </w:rPr>
            </w:pPr>
            <w:r>
              <w:rPr>
                <w:rFonts w:hint="eastAsia"/>
                <w:color w:val="auto"/>
              </w:rPr>
              <w:t>地下室部分采用装配式结构</w:t>
            </w:r>
          </w:p>
        </w:tc>
        <w:tc>
          <w:tcPr>
            <w:tcW w:w="805" w:type="pct"/>
            <w:vAlign w:val="center"/>
          </w:tcPr>
          <w:p>
            <w:pPr>
              <w:pStyle w:val="17"/>
              <w:bidi w:val="0"/>
              <w:rPr>
                <w:rFonts w:hint="eastAsia"/>
                <w:color w:val="auto"/>
              </w:rPr>
            </w:pPr>
            <w:r>
              <w:rPr>
                <w:rFonts w:hint="eastAsia"/>
                <w:color w:val="auto"/>
              </w:rPr>
              <w:t>比例≥50%</w:t>
            </w:r>
          </w:p>
        </w:tc>
        <w:tc>
          <w:tcPr>
            <w:tcW w:w="649" w:type="pct"/>
            <w:vAlign w:val="center"/>
          </w:tcPr>
          <w:p>
            <w:pPr>
              <w:pStyle w:val="17"/>
              <w:bidi w:val="0"/>
              <w:rPr>
                <w:rFonts w:hint="eastAsia"/>
                <w:color w:val="auto"/>
              </w:rPr>
            </w:pPr>
            <w:r>
              <w:rPr>
                <w:rFonts w:hint="eastAsia"/>
                <w:color w:val="auto"/>
              </w:rPr>
              <w:t>3</w:t>
            </w:r>
          </w:p>
        </w:tc>
        <w:tc>
          <w:tcPr>
            <w:tcW w:w="417" w:type="pct"/>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1628" w:type="pct"/>
            <w:gridSpan w:val="2"/>
            <w:vAlign w:val="center"/>
          </w:tcPr>
          <w:p>
            <w:pPr>
              <w:pStyle w:val="17"/>
              <w:bidi w:val="0"/>
              <w:rPr>
                <w:rFonts w:hint="eastAsia"/>
                <w:color w:val="auto"/>
              </w:rPr>
            </w:pPr>
            <w:r>
              <w:rPr>
                <w:rFonts w:hint="eastAsia"/>
                <w:color w:val="auto"/>
              </w:rPr>
              <w:t>采用具备供暖（制冷）功能的模块化保温部品</w:t>
            </w:r>
          </w:p>
        </w:tc>
        <w:tc>
          <w:tcPr>
            <w:tcW w:w="805" w:type="pct"/>
            <w:vAlign w:val="center"/>
          </w:tcPr>
          <w:p>
            <w:pPr>
              <w:pStyle w:val="17"/>
              <w:bidi w:val="0"/>
              <w:rPr>
                <w:rFonts w:hint="eastAsia"/>
                <w:color w:val="auto"/>
              </w:rPr>
            </w:pPr>
            <w:r>
              <w:rPr>
                <w:rFonts w:hint="eastAsia"/>
                <w:color w:val="auto"/>
              </w:rPr>
              <w:t>比例≥70%</w:t>
            </w:r>
          </w:p>
        </w:tc>
        <w:tc>
          <w:tcPr>
            <w:tcW w:w="649" w:type="pct"/>
            <w:vAlign w:val="center"/>
          </w:tcPr>
          <w:p>
            <w:pPr>
              <w:pStyle w:val="17"/>
              <w:bidi w:val="0"/>
              <w:rPr>
                <w:rFonts w:hint="eastAsia"/>
                <w:color w:val="auto"/>
              </w:rPr>
            </w:pPr>
          </w:p>
          <w:p>
            <w:pPr>
              <w:pStyle w:val="17"/>
              <w:bidi w:val="0"/>
              <w:rPr>
                <w:rFonts w:hint="eastAsia"/>
                <w:color w:val="auto"/>
              </w:rPr>
            </w:pPr>
            <w:r>
              <w:rPr>
                <w:rFonts w:hint="eastAsia"/>
                <w:color w:val="auto"/>
              </w:rPr>
              <w:t>2</w:t>
            </w:r>
          </w:p>
        </w:tc>
        <w:tc>
          <w:tcPr>
            <w:tcW w:w="417" w:type="pct"/>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1628" w:type="pct"/>
            <w:gridSpan w:val="2"/>
            <w:vAlign w:val="center"/>
          </w:tcPr>
          <w:p>
            <w:pPr>
              <w:pStyle w:val="17"/>
              <w:bidi w:val="0"/>
              <w:rPr>
                <w:rFonts w:hint="eastAsia"/>
                <w:color w:val="auto"/>
              </w:rPr>
            </w:pPr>
            <w:r>
              <w:rPr>
                <w:rFonts w:hint="eastAsia"/>
                <w:color w:val="auto"/>
              </w:rPr>
              <w:t>采用高品质绿色建造模式</w:t>
            </w:r>
          </w:p>
        </w:tc>
        <w:tc>
          <w:tcPr>
            <w:tcW w:w="805" w:type="pct"/>
            <w:vAlign w:val="center"/>
          </w:tcPr>
          <w:p>
            <w:pPr>
              <w:pStyle w:val="17"/>
              <w:bidi w:val="0"/>
              <w:rPr>
                <w:rFonts w:hint="eastAsia"/>
                <w:color w:val="auto"/>
              </w:rPr>
            </w:pPr>
            <w:r>
              <w:rPr>
                <w:rFonts w:hint="eastAsia"/>
                <w:color w:val="auto"/>
              </w:rPr>
              <w:t>—</w:t>
            </w:r>
          </w:p>
        </w:tc>
        <w:tc>
          <w:tcPr>
            <w:tcW w:w="649" w:type="pct"/>
            <w:vAlign w:val="center"/>
          </w:tcPr>
          <w:p>
            <w:pPr>
              <w:pStyle w:val="17"/>
              <w:bidi w:val="0"/>
              <w:rPr>
                <w:rFonts w:hint="eastAsia"/>
                <w:color w:val="auto"/>
              </w:rPr>
            </w:pPr>
            <w:r>
              <w:rPr>
                <w:rFonts w:hint="eastAsia"/>
                <w:color w:val="auto"/>
              </w:rPr>
              <w:t>2</w:t>
            </w:r>
          </w:p>
        </w:tc>
        <w:tc>
          <w:tcPr>
            <w:tcW w:w="417" w:type="pct"/>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1628" w:type="pct"/>
            <w:gridSpan w:val="2"/>
            <w:vAlign w:val="center"/>
          </w:tcPr>
          <w:p>
            <w:pPr>
              <w:pStyle w:val="17"/>
              <w:bidi w:val="0"/>
              <w:rPr>
                <w:rFonts w:hint="eastAsia"/>
                <w:color w:val="auto"/>
              </w:rPr>
            </w:pPr>
            <w:r>
              <w:rPr>
                <w:rFonts w:hint="eastAsia"/>
                <w:color w:val="auto"/>
              </w:rPr>
              <w:t>公共建筑机电系统集成</w:t>
            </w:r>
          </w:p>
        </w:tc>
        <w:tc>
          <w:tcPr>
            <w:tcW w:w="805" w:type="pct"/>
            <w:vAlign w:val="center"/>
          </w:tcPr>
          <w:p>
            <w:pPr>
              <w:pStyle w:val="17"/>
              <w:bidi w:val="0"/>
              <w:rPr>
                <w:rFonts w:hint="eastAsia"/>
                <w:color w:val="auto"/>
              </w:rPr>
            </w:pPr>
          </w:p>
          <w:p>
            <w:pPr>
              <w:pStyle w:val="17"/>
              <w:bidi w:val="0"/>
              <w:rPr>
                <w:rFonts w:hint="eastAsia"/>
                <w:color w:val="auto"/>
              </w:rPr>
            </w:pPr>
            <w:r>
              <w:rPr>
                <w:rFonts w:hint="eastAsia"/>
                <w:color w:val="auto"/>
              </w:rPr>
              <w:t>—</w:t>
            </w:r>
          </w:p>
        </w:tc>
        <w:tc>
          <w:tcPr>
            <w:tcW w:w="649" w:type="pct"/>
            <w:vAlign w:val="center"/>
          </w:tcPr>
          <w:p>
            <w:pPr>
              <w:pStyle w:val="17"/>
              <w:bidi w:val="0"/>
              <w:rPr>
                <w:rFonts w:hint="eastAsia"/>
                <w:color w:val="auto"/>
              </w:rPr>
            </w:pPr>
            <w:r>
              <w:rPr>
                <w:rFonts w:hint="eastAsia"/>
                <w:color w:val="auto"/>
              </w:rPr>
              <w:t>2</w:t>
            </w:r>
          </w:p>
        </w:tc>
        <w:tc>
          <w:tcPr>
            <w:tcW w:w="417" w:type="pct"/>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54" w:type="pct"/>
            <w:vMerge w:val="continue"/>
            <w:vAlign w:val="center"/>
          </w:tcPr>
          <w:p>
            <w:pPr>
              <w:pStyle w:val="17"/>
              <w:bidi w:val="0"/>
              <w:rPr>
                <w:rFonts w:hint="eastAsia"/>
                <w:color w:val="auto"/>
              </w:rPr>
            </w:pPr>
          </w:p>
        </w:tc>
        <w:tc>
          <w:tcPr>
            <w:tcW w:w="1628" w:type="pct"/>
            <w:gridSpan w:val="2"/>
            <w:vAlign w:val="center"/>
          </w:tcPr>
          <w:p>
            <w:pPr>
              <w:pStyle w:val="17"/>
              <w:bidi w:val="0"/>
              <w:rPr>
                <w:rFonts w:hint="eastAsia"/>
                <w:color w:val="auto"/>
              </w:rPr>
            </w:pPr>
            <w:r>
              <w:rPr>
                <w:rFonts w:hint="eastAsia"/>
                <w:color w:val="auto"/>
              </w:rPr>
              <w:t>创新技术项应用</w:t>
            </w:r>
          </w:p>
        </w:tc>
        <w:tc>
          <w:tcPr>
            <w:tcW w:w="805" w:type="pct"/>
            <w:vAlign w:val="center"/>
          </w:tcPr>
          <w:p>
            <w:pPr>
              <w:pStyle w:val="17"/>
              <w:bidi w:val="0"/>
              <w:rPr>
                <w:rFonts w:hint="eastAsia"/>
                <w:color w:val="auto"/>
              </w:rPr>
            </w:pPr>
          </w:p>
          <w:p>
            <w:pPr>
              <w:pStyle w:val="17"/>
              <w:bidi w:val="0"/>
              <w:rPr>
                <w:rFonts w:hint="eastAsia"/>
                <w:color w:val="auto"/>
              </w:rPr>
            </w:pPr>
            <w:r>
              <w:rPr>
                <w:rFonts w:hint="eastAsia"/>
                <w:color w:val="auto"/>
              </w:rPr>
              <w:t>—</w:t>
            </w:r>
          </w:p>
        </w:tc>
        <w:tc>
          <w:tcPr>
            <w:tcW w:w="649" w:type="pct"/>
            <w:vAlign w:val="center"/>
          </w:tcPr>
          <w:p>
            <w:pPr>
              <w:pStyle w:val="17"/>
              <w:bidi w:val="0"/>
              <w:rPr>
                <w:rFonts w:hint="eastAsia"/>
                <w:color w:val="auto"/>
              </w:rPr>
            </w:pPr>
            <w:r>
              <w:rPr>
                <w:rFonts w:hint="eastAsia"/>
                <w:color w:val="auto"/>
              </w:rPr>
              <w:t>2</w:t>
            </w:r>
          </w:p>
        </w:tc>
        <w:tc>
          <w:tcPr>
            <w:tcW w:w="417" w:type="pct"/>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537" w:type="pct"/>
            <w:gridSpan w:val="5"/>
            <w:vAlign w:val="center"/>
          </w:tcPr>
          <w:p>
            <w:pPr>
              <w:pStyle w:val="17"/>
              <w:bidi w:val="0"/>
              <w:rPr>
                <w:rFonts w:hint="eastAsia"/>
                <w:color w:val="auto"/>
              </w:rPr>
            </w:pPr>
            <w:r>
              <w:rPr>
                <w:rFonts w:hint="eastAsia"/>
                <w:color w:val="auto"/>
              </w:rPr>
              <w:t>缺分项Q60分母总分100</w:t>
            </w:r>
          </w:p>
        </w:tc>
        <w:tc>
          <w:tcPr>
            <w:tcW w:w="417" w:type="pct"/>
            <w:vAlign w:val="center"/>
          </w:tcPr>
          <w:p>
            <w:pPr>
              <w:pStyle w:val="17"/>
              <w:bidi w:val="0"/>
              <w:rPr>
                <w:rFonts w:hint="eastAsia"/>
                <w:color w:val="auto"/>
              </w:rPr>
            </w:pPr>
          </w:p>
        </w:tc>
        <w:tc>
          <w:tcPr>
            <w:tcW w:w="417" w:type="pct"/>
            <w:vAlign w:val="center"/>
          </w:tcPr>
          <w:p>
            <w:pPr>
              <w:pStyle w:val="17"/>
              <w:bidi w:val="0"/>
              <w:rPr>
                <w:rFonts w:hint="eastAsia"/>
                <w:color w:val="auto"/>
              </w:rPr>
            </w:pPr>
            <w:r>
              <w:rPr>
                <w:rFonts w:hint="eastAsia"/>
                <w:color w:val="auto"/>
              </w:rPr>
              <w:t>总得分分子）</w:t>
            </w:r>
          </w:p>
        </w:tc>
        <w:tc>
          <w:tcPr>
            <w:tcW w:w="626" w:type="pct"/>
            <w:vAlign w:val="center"/>
          </w:tcPr>
          <w:p>
            <w:pPr>
              <w:pStyle w:val="17"/>
              <w:bidi w:val="0"/>
              <w:rPr>
                <w:rFonts w:hint="eastAsia"/>
                <w:color w:val="auto"/>
              </w:rPr>
            </w:pPr>
            <w:r>
              <w:rPr>
                <w:rFonts w:hint="eastAsia"/>
                <w:color w:val="auto"/>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537" w:type="pct"/>
            <w:gridSpan w:val="5"/>
            <w:vAlign w:val="center"/>
          </w:tcPr>
          <w:p>
            <w:pPr>
              <w:pStyle w:val="17"/>
              <w:bidi w:val="0"/>
              <w:rPr>
                <w:rFonts w:hint="eastAsia"/>
                <w:color w:val="auto"/>
              </w:rPr>
            </w:pPr>
            <w:r>
              <w:rPr>
                <w:rFonts w:hint="eastAsia"/>
                <w:color w:val="auto"/>
              </w:rPr>
              <w:t>装配率计算</w:t>
            </w:r>
          </w:p>
        </w:tc>
        <w:tc>
          <w:tcPr>
            <w:tcW w:w="417" w:type="pct"/>
            <w:vAlign w:val="center"/>
          </w:tcPr>
          <w:p>
            <w:pPr>
              <w:pStyle w:val="17"/>
              <w:bidi w:val="0"/>
              <w:rPr>
                <w:rFonts w:hint="eastAsia"/>
                <w:color w:val="auto"/>
              </w:rPr>
            </w:pPr>
          </w:p>
        </w:tc>
        <w:tc>
          <w:tcPr>
            <w:tcW w:w="417" w:type="pct"/>
            <w:vAlign w:val="center"/>
          </w:tcPr>
          <w:p>
            <w:pPr>
              <w:pStyle w:val="17"/>
              <w:bidi w:val="0"/>
              <w:rPr>
                <w:rFonts w:hint="eastAsia"/>
                <w:color w:val="auto"/>
              </w:rPr>
            </w:pPr>
          </w:p>
        </w:tc>
        <w:tc>
          <w:tcPr>
            <w:tcW w:w="626" w:type="pct"/>
            <w:vAlign w:val="center"/>
          </w:tcPr>
          <w:p>
            <w:pPr>
              <w:pStyle w:val="17"/>
              <w:bidi w:val="0"/>
              <w:rPr>
                <w:rFonts w:hint="eastAsia"/>
                <w:color w:val="auto"/>
              </w:rPr>
            </w:pPr>
            <w:r>
              <w:rPr>
                <w:rFonts w:hint="eastAsia"/>
                <w:color w:val="auto"/>
              </w:rPr>
              <w:t>31%</w:t>
            </w:r>
          </w:p>
        </w:tc>
      </w:tr>
    </w:tbl>
    <w:p>
      <w:pPr>
        <w:bidi w:val="0"/>
        <w:rPr>
          <w:rFonts w:hint="eastAsia"/>
          <w:color w:val="auto"/>
          <w:lang w:val="en-US" w:eastAsia="zh-CN"/>
        </w:rPr>
      </w:pPr>
      <w:r>
        <w:rPr>
          <w:rFonts w:hint="eastAsia"/>
          <w:color w:val="auto"/>
          <w:lang w:val="en-US" w:eastAsia="zh-CN"/>
        </w:rPr>
        <w:t>备注：1）按单体建筑填写，相同楼栋可一并表达）；</w:t>
      </w:r>
    </w:p>
    <w:p>
      <w:pPr>
        <w:bidi w:val="0"/>
        <w:rPr>
          <w:rFonts w:hint="eastAsia"/>
          <w:color w:val="auto"/>
          <w:lang w:val="en-US" w:eastAsia="zh-CN"/>
        </w:rPr>
      </w:pPr>
      <w:r>
        <w:rPr>
          <w:rFonts w:hint="eastAsia"/>
          <w:color w:val="auto"/>
          <w:lang w:val="en-US" w:eastAsia="zh-CN"/>
        </w:rPr>
        <w:t>2）得分保留到小数点后一位；装配率结论按四舍五入法取整。</w:t>
      </w:r>
    </w:p>
    <w:p>
      <w:pPr>
        <w:bidi w:val="0"/>
        <w:rPr>
          <w:rFonts w:hint="eastAsia"/>
          <w:color w:val="auto"/>
          <w:lang w:val="en-US" w:eastAsia="zh-CN"/>
        </w:rPr>
      </w:pPr>
      <w:r>
        <w:rPr>
          <w:rFonts w:hint="eastAsia"/>
          <w:color w:val="auto"/>
          <w:lang w:val="en-US" w:eastAsia="zh-CN"/>
        </w:rPr>
        <w:t>2、本项目办公楼、宿舍楼为多层公建项目，按《湖南省装配式建筑评价标准》，其装配率按不应低于50%的要求执行，具体方案为：</w:t>
      </w:r>
    </w:p>
    <w:p>
      <w:pPr>
        <w:bidi w:val="0"/>
        <w:rPr>
          <w:rFonts w:hint="eastAsia"/>
          <w:color w:val="auto"/>
          <w:lang w:val="en-US" w:eastAsia="zh-CN"/>
        </w:rPr>
      </w:pPr>
      <w:r>
        <w:rPr>
          <w:rFonts w:hint="eastAsia"/>
          <w:color w:val="auto"/>
          <w:lang w:val="en-US" w:eastAsia="zh-CN"/>
        </w:rPr>
        <w:t>（1）柱、支撑、承重墙、延性墙板等竖向构现浇，不得分；</w:t>
      </w:r>
    </w:p>
    <w:p>
      <w:pPr>
        <w:bidi w:val="0"/>
        <w:rPr>
          <w:rFonts w:hint="eastAsia"/>
          <w:color w:val="auto"/>
          <w:lang w:val="en-US" w:eastAsia="zh-CN"/>
        </w:rPr>
      </w:pPr>
      <w:r>
        <w:rPr>
          <w:rFonts w:hint="eastAsia"/>
          <w:color w:val="auto"/>
          <w:lang w:val="en-US" w:eastAsia="zh-CN"/>
        </w:rPr>
        <w:t>梁、板、楼梯、阳台、空调板等水平构件采用预制构件（比例为80%）；</w:t>
      </w:r>
    </w:p>
    <w:p>
      <w:pPr>
        <w:bidi w:val="0"/>
        <w:rPr>
          <w:rFonts w:hint="eastAsia"/>
          <w:color w:val="auto"/>
          <w:lang w:val="en-US" w:eastAsia="zh-CN"/>
        </w:rPr>
      </w:pPr>
      <w:r>
        <w:rPr>
          <w:rFonts w:hint="eastAsia"/>
          <w:color w:val="auto"/>
          <w:lang w:val="en-US" w:eastAsia="zh-CN"/>
        </w:rPr>
        <w:t>（2）围护墙采用非砌筑的ALC轻质墙（比例≥80%），且采用干式工法保温装饰一体板（比例≥80%），内隔墙采用非砌筑ALC管线一体化内隔墙（比例为55%）；</w:t>
      </w:r>
    </w:p>
    <w:p>
      <w:pPr>
        <w:bidi w:val="0"/>
        <w:rPr>
          <w:rFonts w:hint="eastAsia"/>
          <w:color w:val="auto"/>
          <w:lang w:val="en-US" w:eastAsia="zh-CN"/>
        </w:rPr>
      </w:pPr>
      <w:r>
        <w:rPr>
          <w:rFonts w:hint="eastAsia"/>
          <w:color w:val="auto"/>
          <w:lang w:val="en-US" w:eastAsia="zh-CN"/>
        </w:rPr>
        <w:t>（3）采用全装修；</w:t>
      </w:r>
    </w:p>
    <w:p>
      <w:pPr>
        <w:bidi w:val="0"/>
        <w:rPr>
          <w:rFonts w:hint="eastAsia"/>
          <w:color w:val="auto"/>
          <w:lang w:val="en-US" w:eastAsia="zh-CN"/>
        </w:rPr>
      </w:pPr>
      <w:r>
        <w:rPr>
          <w:rFonts w:hint="eastAsia"/>
          <w:color w:val="auto"/>
          <w:lang w:val="en-US" w:eastAsia="zh-CN"/>
        </w:rPr>
        <w:t>（4）部品部件叠合板标准化，比例达到70%；采用智能建造平台应用；</w:t>
      </w:r>
    </w:p>
    <w:p>
      <w:pPr>
        <w:bidi w:val="0"/>
        <w:rPr>
          <w:rFonts w:hint="eastAsia"/>
          <w:color w:val="auto"/>
          <w:lang w:val="en-US" w:eastAsia="zh-CN"/>
        </w:rPr>
      </w:pPr>
      <w:r>
        <w:rPr>
          <w:rFonts w:hint="eastAsia"/>
          <w:color w:val="auto"/>
          <w:lang w:val="en-US" w:eastAsia="zh-CN"/>
        </w:rPr>
        <w:t>（5）采用工程总承包。</w:t>
      </w:r>
    </w:p>
    <w:p>
      <w:pPr>
        <w:bidi w:val="0"/>
        <w:rPr>
          <w:rFonts w:hint="eastAsia"/>
          <w:color w:val="auto"/>
          <w:lang w:val="en-US" w:eastAsia="zh-CN"/>
        </w:rPr>
      </w:pPr>
      <w:r>
        <w:rPr>
          <w:rFonts w:hint="eastAsia"/>
          <w:color w:val="auto"/>
          <w:lang w:val="en-US" w:eastAsia="zh-CN"/>
        </w:rPr>
        <w:t>2、拟采用的装配式技术配置项如下表所示：</w:t>
      </w:r>
    </w:p>
    <w:p>
      <w:pPr>
        <w:bidi w:val="0"/>
        <w:rPr>
          <w:color w:val="auto"/>
          <w:lang w:val="en-US" w:eastAsia="en-US"/>
        </w:rPr>
      </w:pPr>
      <w:r>
        <w:rPr>
          <w:rFonts w:hint="eastAsia"/>
          <w:color w:val="auto"/>
          <w:lang w:val="en-US" w:eastAsia="zh-CN"/>
        </w:rPr>
        <w:t>办公楼</w:t>
      </w:r>
      <w:r>
        <w:rPr>
          <w:color w:val="auto"/>
          <w:lang w:val="en-US" w:eastAsia="en-US"/>
        </w:rPr>
        <w:t>装配率计算评价表</w:t>
      </w:r>
    </w:p>
    <w:tbl>
      <w:tblPr>
        <w:tblStyle w:val="1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88"/>
        <w:gridCol w:w="1419"/>
        <w:gridCol w:w="2178"/>
        <w:gridCol w:w="1212"/>
        <w:gridCol w:w="11"/>
        <w:gridCol w:w="1128"/>
        <w:gridCol w:w="27"/>
        <w:gridCol w:w="617"/>
        <w:gridCol w:w="5"/>
        <w:gridCol w:w="820"/>
        <w:gridCol w:w="597"/>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2516" w:type="pct"/>
            <w:gridSpan w:val="3"/>
            <w:vAlign w:val="center"/>
          </w:tcPr>
          <w:p>
            <w:pPr>
              <w:pStyle w:val="17"/>
              <w:bidi w:val="0"/>
              <w:rPr>
                <w:rFonts w:hint="eastAsia"/>
                <w:color w:val="auto"/>
              </w:rPr>
            </w:pPr>
            <w:r>
              <w:rPr>
                <w:rFonts w:hint="eastAsia"/>
                <w:color w:val="auto"/>
              </w:rPr>
              <w:t>评价项</w:t>
            </w:r>
          </w:p>
        </w:tc>
        <w:tc>
          <w:tcPr>
            <w:tcW w:w="680" w:type="pct"/>
            <w:vAlign w:val="center"/>
          </w:tcPr>
          <w:p>
            <w:pPr>
              <w:pStyle w:val="17"/>
              <w:bidi w:val="0"/>
              <w:rPr>
                <w:rFonts w:hint="eastAsia"/>
                <w:color w:val="auto"/>
              </w:rPr>
            </w:pPr>
            <w:r>
              <w:rPr>
                <w:rFonts w:hint="eastAsia"/>
                <w:color w:val="auto"/>
              </w:rPr>
              <w:t>评价要求</w:t>
            </w:r>
          </w:p>
        </w:tc>
        <w:tc>
          <w:tcPr>
            <w:tcW w:w="639" w:type="pct"/>
            <w:gridSpan w:val="2"/>
            <w:vAlign w:val="center"/>
          </w:tcPr>
          <w:p>
            <w:pPr>
              <w:pStyle w:val="17"/>
              <w:bidi w:val="0"/>
              <w:rPr>
                <w:rFonts w:hint="eastAsia"/>
                <w:color w:val="auto"/>
              </w:rPr>
            </w:pPr>
            <w:r>
              <w:rPr>
                <w:rFonts w:hint="eastAsia"/>
                <w:color w:val="auto"/>
              </w:rPr>
              <w:t>评价</w:t>
            </w:r>
          </w:p>
          <w:p>
            <w:pPr>
              <w:pStyle w:val="17"/>
              <w:bidi w:val="0"/>
              <w:rPr>
                <w:rFonts w:hint="eastAsia"/>
                <w:color w:val="auto"/>
              </w:rPr>
            </w:pPr>
            <w:r>
              <w:rPr>
                <w:rFonts w:hint="eastAsia"/>
                <w:color w:val="auto"/>
              </w:rPr>
              <w:t>分值</w:t>
            </w:r>
          </w:p>
        </w:tc>
        <w:tc>
          <w:tcPr>
            <w:tcW w:w="360" w:type="pct"/>
            <w:gridSpan w:val="2"/>
            <w:textDirection w:val="tbRlV"/>
            <w:vAlign w:val="center"/>
          </w:tcPr>
          <w:p>
            <w:pPr>
              <w:pStyle w:val="17"/>
              <w:bidi w:val="0"/>
              <w:rPr>
                <w:rFonts w:hint="eastAsia"/>
                <w:color w:val="auto"/>
              </w:rPr>
            </w:pPr>
            <w:r>
              <w:rPr>
                <w:rFonts w:hint="eastAsia"/>
                <w:color w:val="auto"/>
              </w:rPr>
              <w:t>最低分值</w:t>
            </w:r>
          </w:p>
        </w:tc>
        <w:tc>
          <w:tcPr>
            <w:tcW w:w="463" w:type="pct"/>
            <w:gridSpan w:val="2"/>
            <w:vAlign w:val="center"/>
          </w:tcPr>
          <w:p>
            <w:pPr>
              <w:pStyle w:val="17"/>
              <w:bidi w:val="0"/>
              <w:rPr>
                <w:rFonts w:hint="eastAsia"/>
                <w:color w:val="auto"/>
              </w:rPr>
            </w:pPr>
            <w:r>
              <w:rPr>
                <w:rFonts w:hint="eastAsia"/>
                <w:color w:val="auto"/>
              </w:rPr>
              <w:t>评价比例</w:t>
            </w:r>
          </w:p>
        </w:tc>
        <w:tc>
          <w:tcPr>
            <w:tcW w:w="335" w:type="pct"/>
            <w:vAlign w:val="center"/>
          </w:tcPr>
          <w:p>
            <w:pPr>
              <w:pStyle w:val="17"/>
              <w:bidi w:val="0"/>
              <w:rPr>
                <w:rFonts w:hint="eastAsia"/>
                <w:color w:val="auto"/>
              </w:rPr>
            </w:pPr>
            <w:r>
              <w:rPr>
                <w:rFonts w:hint="eastAsia"/>
                <w:color w:val="auto"/>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restart"/>
            <w:vAlign w:val="center"/>
          </w:tcPr>
          <w:p>
            <w:pPr>
              <w:pStyle w:val="17"/>
              <w:bidi w:val="0"/>
              <w:rPr>
                <w:rFonts w:hint="eastAsia"/>
                <w:color w:val="auto"/>
              </w:rPr>
            </w:pPr>
            <w:r>
              <w:rPr>
                <w:rFonts w:hint="eastAsia"/>
                <w:color w:val="auto"/>
              </w:rPr>
              <w:t>主体结构Q1</w:t>
            </w:r>
          </w:p>
          <w:p>
            <w:pPr>
              <w:pStyle w:val="17"/>
              <w:bidi w:val="0"/>
              <w:rPr>
                <w:rFonts w:hint="eastAsia"/>
                <w:color w:val="auto"/>
              </w:rPr>
            </w:pPr>
            <w:r>
              <w:rPr>
                <w:rFonts w:hint="eastAsia"/>
                <w:color w:val="auto"/>
              </w:rPr>
              <w:t>（50分）</w:t>
            </w:r>
          </w:p>
        </w:tc>
        <w:tc>
          <w:tcPr>
            <w:tcW w:w="796" w:type="pct"/>
            <w:vMerge w:val="restart"/>
            <w:vAlign w:val="center"/>
          </w:tcPr>
          <w:p>
            <w:pPr>
              <w:pStyle w:val="17"/>
              <w:bidi w:val="0"/>
              <w:rPr>
                <w:rFonts w:hint="eastAsia"/>
                <w:color w:val="auto"/>
              </w:rPr>
            </w:pPr>
            <w:r>
              <w:rPr>
                <w:rFonts w:hint="eastAsia"/>
                <w:color w:val="auto"/>
              </w:rPr>
              <w:t>柱、支撑、承重墙、延性墙板等竖向构件</w:t>
            </w:r>
          </w:p>
        </w:tc>
        <w:tc>
          <w:tcPr>
            <w:tcW w:w="1220" w:type="pct"/>
            <w:vMerge w:val="restart"/>
            <w:vAlign w:val="center"/>
          </w:tcPr>
          <w:p>
            <w:pPr>
              <w:pStyle w:val="17"/>
              <w:bidi w:val="0"/>
              <w:rPr>
                <w:rFonts w:hint="eastAsia"/>
                <w:color w:val="auto"/>
              </w:rPr>
            </w:pPr>
            <w:r>
              <w:rPr>
                <w:rFonts w:hint="eastAsia"/>
                <w:color w:val="auto"/>
              </w:rPr>
              <w:t>A、采用预制构件</w:t>
            </w:r>
          </w:p>
        </w:tc>
        <w:tc>
          <w:tcPr>
            <w:tcW w:w="680" w:type="pct"/>
            <w:vAlign w:val="center"/>
          </w:tcPr>
          <w:p>
            <w:pPr>
              <w:pStyle w:val="17"/>
              <w:bidi w:val="0"/>
              <w:rPr>
                <w:rFonts w:hint="eastAsia"/>
                <w:color w:val="auto"/>
              </w:rPr>
            </w:pPr>
            <w:r>
              <w:rPr>
                <w:rFonts w:hint="eastAsia"/>
                <w:color w:val="auto"/>
              </w:rPr>
              <w:t>35%≤比例≤80%</w:t>
            </w:r>
          </w:p>
        </w:tc>
        <w:tc>
          <w:tcPr>
            <w:tcW w:w="639" w:type="pct"/>
            <w:gridSpan w:val="2"/>
            <w:vAlign w:val="center"/>
          </w:tcPr>
          <w:p>
            <w:pPr>
              <w:pStyle w:val="17"/>
              <w:bidi w:val="0"/>
              <w:rPr>
                <w:rFonts w:hint="eastAsia"/>
                <w:color w:val="auto"/>
              </w:rPr>
            </w:pPr>
            <w:r>
              <w:rPr>
                <w:rFonts w:hint="eastAsia"/>
                <w:color w:val="auto"/>
              </w:rPr>
              <w:t>15~25*</w:t>
            </w:r>
          </w:p>
        </w:tc>
        <w:tc>
          <w:tcPr>
            <w:tcW w:w="360" w:type="pct"/>
            <w:gridSpan w:val="2"/>
            <w:vMerge w:val="restart"/>
            <w:vAlign w:val="center"/>
          </w:tcPr>
          <w:p>
            <w:pPr>
              <w:pStyle w:val="17"/>
              <w:bidi w:val="0"/>
              <w:rPr>
                <w:rFonts w:hint="eastAsia"/>
                <w:color w:val="auto"/>
              </w:rPr>
            </w:pPr>
            <w:r>
              <w:rPr>
                <w:rFonts w:hint="eastAsia"/>
                <w:color w:val="auto"/>
              </w:rPr>
              <w:t>20</w:t>
            </w: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796" w:type="pct"/>
            <w:vMerge w:val="continue"/>
            <w:vAlign w:val="center"/>
          </w:tcPr>
          <w:p>
            <w:pPr>
              <w:pStyle w:val="17"/>
              <w:bidi w:val="0"/>
              <w:rPr>
                <w:rFonts w:hint="eastAsia"/>
                <w:color w:val="auto"/>
              </w:rPr>
            </w:pPr>
          </w:p>
        </w:tc>
        <w:tc>
          <w:tcPr>
            <w:tcW w:w="1220" w:type="pct"/>
            <w:vMerge w:val="continue"/>
            <w:vAlign w:val="center"/>
          </w:tcPr>
          <w:p>
            <w:pPr>
              <w:pStyle w:val="17"/>
              <w:bidi w:val="0"/>
              <w:rPr>
                <w:rFonts w:hint="eastAsia"/>
                <w:color w:val="auto"/>
              </w:rPr>
            </w:pPr>
          </w:p>
        </w:tc>
        <w:tc>
          <w:tcPr>
            <w:tcW w:w="680" w:type="pct"/>
            <w:vAlign w:val="center"/>
          </w:tcPr>
          <w:p>
            <w:pPr>
              <w:pStyle w:val="17"/>
              <w:bidi w:val="0"/>
              <w:rPr>
                <w:rFonts w:hint="eastAsia"/>
                <w:color w:val="auto"/>
              </w:rPr>
            </w:pPr>
            <w:r>
              <w:rPr>
                <w:rFonts w:hint="eastAsia"/>
                <w:color w:val="auto"/>
              </w:rPr>
              <w:t>15%≤比例＜35%</w:t>
            </w:r>
          </w:p>
        </w:tc>
        <w:tc>
          <w:tcPr>
            <w:tcW w:w="639" w:type="pct"/>
            <w:gridSpan w:val="2"/>
            <w:vAlign w:val="center"/>
          </w:tcPr>
          <w:p>
            <w:pPr>
              <w:pStyle w:val="17"/>
              <w:bidi w:val="0"/>
              <w:rPr>
                <w:rFonts w:hint="eastAsia"/>
                <w:color w:val="auto"/>
              </w:rPr>
            </w:pPr>
            <w:r>
              <w:rPr>
                <w:rFonts w:hint="eastAsia"/>
                <w:color w:val="auto"/>
              </w:rPr>
              <w:t>5~15*</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796" w:type="pct"/>
            <w:vMerge w:val="continue"/>
            <w:vAlign w:val="center"/>
          </w:tcPr>
          <w:p>
            <w:pPr>
              <w:pStyle w:val="17"/>
              <w:bidi w:val="0"/>
              <w:rPr>
                <w:rFonts w:hint="eastAsia"/>
                <w:color w:val="auto"/>
              </w:rPr>
            </w:pPr>
          </w:p>
        </w:tc>
        <w:tc>
          <w:tcPr>
            <w:tcW w:w="1220" w:type="pct"/>
            <w:vAlign w:val="center"/>
          </w:tcPr>
          <w:p>
            <w:pPr>
              <w:pStyle w:val="17"/>
              <w:bidi w:val="0"/>
              <w:rPr>
                <w:rFonts w:hint="eastAsia"/>
                <w:color w:val="auto"/>
              </w:rPr>
            </w:pPr>
            <w:r>
              <w:rPr>
                <w:rFonts w:hint="eastAsia"/>
                <w:color w:val="auto"/>
              </w:rPr>
              <w:t>B、采用新型模板或免拆模板施工工艺</w:t>
            </w:r>
          </w:p>
        </w:tc>
        <w:tc>
          <w:tcPr>
            <w:tcW w:w="680" w:type="pct"/>
            <w:vAlign w:val="center"/>
          </w:tcPr>
          <w:p>
            <w:pPr>
              <w:pStyle w:val="17"/>
              <w:bidi w:val="0"/>
              <w:rPr>
                <w:rFonts w:hint="eastAsia"/>
                <w:color w:val="auto"/>
              </w:rPr>
            </w:pPr>
            <w:r>
              <w:rPr>
                <w:rFonts w:hint="eastAsia"/>
                <w:color w:val="auto"/>
              </w:rPr>
              <w:t>比例≥85%</w:t>
            </w:r>
          </w:p>
        </w:tc>
        <w:tc>
          <w:tcPr>
            <w:tcW w:w="639" w:type="pct"/>
            <w:gridSpan w:val="2"/>
            <w:vAlign w:val="center"/>
          </w:tcPr>
          <w:p>
            <w:pPr>
              <w:pStyle w:val="17"/>
              <w:bidi w:val="0"/>
              <w:rPr>
                <w:rFonts w:hint="eastAsia"/>
                <w:color w:val="auto"/>
              </w:rPr>
            </w:pPr>
            <w:r>
              <w:rPr>
                <w:rFonts w:hint="eastAsia"/>
                <w:color w:val="auto"/>
              </w:rPr>
              <w:t>3</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796" w:type="pct"/>
            <w:vMerge w:val="restart"/>
            <w:vAlign w:val="center"/>
          </w:tcPr>
          <w:p>
            <w:pPr>
              <w:pStyle w:val="17"/>
              <w:bidi w:val="0"/>
              <w:rPr>
                <w:rFonts w:hint="eastAsia"/>
                <w:color w:val="auto"/>
              </w:rPr>
            </w:pPr>
            <w:r>
              <w:rPr>
                <w:rFonts w:hint="eastAsia"/>
                <w:color w:val="auto"/>
              </w:rPr>
              <w:t>梁、板、楼梯、阳台、空调板等水平构件</w:t>
            </w:r>
          </w:p>
        </w:tc>
        <w:tc>
          <w:tcPr>
            <w:tcW w:w="1220" w:type="pct"/>
            <w:vMerge w:val="restart"/>
            <w:vAlign w:val="center"/>
          </w:tcPr>
          <w:p>
            <w:pPr>
              <w:pStyle w:val="17"/>
              <w:bidi w:val="0"/>
              <w:rPr>
                <w:rFonts w:hint="eastAsia"/>
                <w:color w:val="auto"/>
              </w:rPr>
            </w:pPr>
            <w:r>
              <w:rPr>
                <w:rFonts w:hint="eastAsia"/>
                <w:color w:val="auto"/>
              </w:rPr>
              <w:t>A、采用预制构件</w:t>
            </w:r>
          </w:p>
        </w:tc>
        <w:tc>
          <w:tcPr>
            <w:tcW w:w="680" w:type="pct"/>
            <w:vAlign w:val="center"/>
          </w:tcPr>
          <w:p>
            <w:pPr>
              <w:pStyle w:val="17"/>
              <w:bidi w:val="0"/>
              <w:rPr>
                <w:rFonts w:hint="eastAsia"/>
                <w:color w:val="auto"/>
              </w:rPr>
            </w:pPr>
            <w:r>
              <w:rPr>
                <w:rFonts w:hint="eastAsia"/>
                <w:color w:val="auto"/>
              </w:rPr>
              <w:t>70%≤比例≤80%</w:t>
            </w:r>
          </w:p>
        </w:tc>
        <w:tc>
          <w:tcPr>
            <w:tcW w:w="639" w:type="pct"/>
            <w:gridSpan w:val="2"/>
            <w:vAlign w:val="center"/>
          </w:tcPr>
          <w:p>
            <w:pPr>
              <w:pStyle w:val="17"/>
              <w:bidi w:val="0"/>
              <w:rPr>
                <w:rFonts w:hint="eastAsia"/>
                <w:color w:val="auto"/>
              </w:rPr>
            </w:pPr>
            <w:r>
              <w:rPr>
                <w:rFonts w:hint="eastAsia"/>
                <w:color w:val="auto"/>
              </w:rPr>
              <w:t>10~20*</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r>
              <w:rPr>
                <w:rFonts w:hint="eastAsia"/>
                <w:color w:val="auto"/>
              </w:rPr>
              <w:t>≥80%</w:t>
            </w:r>
          </w:p>
        </w:tc>
        <w:tc>
          <w:tcPr>
            <w:tcW w:w="335" w:type="pct"/>
            <w:vAlign w:val="center"/>
          </w:tcPr>
          <w:p>
            <w:pPr>
              <w:pStyle w:val="17"/>
              <w:bidi w:val="0"/>
              <w:rPr>
                <w:rFonts w:hint="eastAsia"/>
                <w:color w:val="auto"/>
              </w:rPr>
            </w:pPr>
            <w:r>
              <w:rPr>
                <w:rFonts w:hint="eastAsia"/>
                <w:color w:val="auto"/>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796" w:type="pct"/>
            <w:vMerge w:val="continue"/>
            <w:vAlign w:val="center"/>
          </w:tcPr>
          <w:p>
            <w:pPr>
              <w:pStyle w:val="17"/>
              <w:bidi w:val="0"/>
              <w:rPr>
                <w:rFonts w:hint="eastAsia"/>
                <w:color w:val="auto"/>
              </w:rPr>
            </w:pPr>
          </w:p>
        </w:tc>
        <w:tc>
          <w:tcPr>
            <w:tcW w:w="1220" w:type="pct"/>
            <w:vMerge w:val="continue"/>
            <w:vAlign w:val="center"/>
          </w:tcPr>
          <w:p>
            <w:pPr>
              <w:pStyle w:val="17"/>
              <w:bidi w:val="0"/>
              <w:rPr>
                <w:rFonts w:hint="eastAsia"/>
                <w:color w:val="auto"/>
              </w:rPr>
            </w:pPr>
          </w:p>
        </w:tc>
        <w:tc>
          <w:tcPr>
            <w:tcW w:w="680" w:type="pct"/>
            <w:vAlign w:val="center"/>
          </w:tcPr>
          <w:p>
            <w:pPr>
              <w:pStyle w:val="17"/>
              <w:bidi w:val="0"/>
              <w:rPr>
                <w:rFonts w:hint="eastAsia"/>
                <w:color w:val="auto"/>
              </w:rPr>
            </w:pPr>
            <w:r>
              <w:rPr>
                <w:rFonts w:hint="eastAsia"/>
                <w:color w:val="auto"/>
              </w:rPr>
              <w:t>50%≤比例70%</w:t>
            </w:r>
          </w:p>
        </w:tc>
        <w:tc>
          <w:tcPr>
            <w:tcW w:w="639" w:type="pct"/>
            <w:gridSpan w:val="2"/>
            <w:vAlign w:val="center"/>
          </w:tcPr>
          <w:p>
            <w:pPr>
              <w:pStyle w:val="17"/>
              <w:bidi w:val="0"/>
              <w:rPr>
                <w:rFonts w:hint="eastAsia"/>
                <w:color w:val="auto"/>
              </w:rPr>
            </w:pPr>
            <w:r>
              <w:rPr>
                <w:rFonts w:hint="eastAsia"/>
                <w:color w:val="auto"/>
              </w:rPr>
              <w:t>5~10*</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796" w:type="pct"/>
            <w:vMerge w:val="continue"/>
            <w:vAlign w:val="center"/>
          </w:tcPr>
          <w:p>
            <w:pPr>
              <w:pStyle w:val="17"/>
              <w:bidi w:val="0"/>
              <w:rPr>
                <w:rFonts w:hint="eastAsia"/>
                <w:color w:val="auto"/>
              </w:rPr>
            </w:pPr>
          </w:p>
        </w:tc>
        <w:tc>
          <w:tcPr>
            <w:tcW w:w="1220" w:type="pct"/>
            <w:vAlign w:val="center"/>
          </w:tcPr>
          <w:p>
            <w:pPr>
              <w:pStyle w:val="17"/>
              <w:bidi w:val="0"/>
              <w:rPr>
                <w:rFonts w:hint="eastAsia"/>
                <w:color w:val="auto"/>
              </w:rPr>
            </w:pPr>
            <w:r>
              <w:rPr>
                <w:rFonts w:hint="eastAsia"/>
                <w:color w:val="auto"/>
              </w:rPr>
              <w:t>B、采用免拆模板施工工艺</w:t>
            </w:r>
          </w:p>
        </w:tc>
        <w:tc>
          <w:tcPr>
            <w:tcW w:w="680" w:type="pct"/>
            <w:vAlign w:val="center"/>
          </w:tcPr>
          <w:p>
            <w:pPr>
              <w:pStyle w:val="17"/>
              <w:bidi w:val="0"/>
              <w:rPr>
                <w:rFonts w:hint="eastAsia"/>
                <w:color w:val="auto"/>
              </w:rPr>
            </w:pPr>
            <w:r>
              <w:rPr>
                <w:rFonts w:hint="eastAsia"/>
                <w:color w:val="auto"/>
              </w:rPr>
              <w:t>60%≤比例80%</w:t>
            </w:r>
          </w:p>
        </w:tc>
        <w:tc>
          <w:tcPr>
            <w:tcW w:w="639" w:type="pct"/>
            <w:gridSpan w:val="2"/>
            <w:vAlign w:val="center"/>
          </w:tcPr>
          <w:p>
            <w:pPr>
              <w:pStyle w:val="17"/>
              <w:bidi w:val="0"/>
              <w:rPr>
                <w:rFonts w:hint="eastAsia"/>
                <w:color w:val="auto"/>
              </w:rPr>
            </w:pPr>
            <w:r>
              <w:rPr>
                <w:rFonts w:hint="eastAsia"/>
                <w:color w:val="auto"/>
              </w:rPr>
              <w:t>6～8*</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796" w:type="pct"/>
            <w:vAlign w:val="center"/>
          </w:tcPr>
          <w:p>
            <w:pPr>
              <w:pStyle w:val="17"/>
              <w:bidi w:val="0"/>
              <w:rPr>
                <w:rFonts w:hint="eastAsia"/>
                <w:color w:val="auto"/>
              </w:rPr>
            </w:pPr>
            <w:r>
              <w:rPr>
                <w:rFonts w:hint="eastAsia"/>
                <w:color w:val="auto"/>
              </w:rPr>
              <w:t>预制水平构件集成化</w:t>
            </w:r>
          </w:p>
        </w:tc>
        <w:tc>
          <w:tcPr>
            <w:tcW w:w="1220" w:type="pct"/>
            <w:vAlign w:val="center"/>
          </w:tcPr>
          <w:p>
            <w:pPr>
              <w:pStyle w:val="17"/>
              <w:bidi w:val="0"/>
              <w:rPr>
                <w:rFonts w:hint="eastAsia"/>
                <w:color w:val="auto"/>
              </w:rPr>
            </w:pPr>
            <w:r>
              <w:rPr>
                <w:rFonts w:hint="eastAsia"/>
                <w:color w:val="auto"/>
              </w:rPr>
              <w:t>预制楼板与保温一体化</w:t>
            </w:r>
          </w:p>
        </w:tc>
        <w:tc>
          <w:tcPr>
            <w:tcW w:w="680" w:type="pct"/>
            <w:vAlign w:val="center"/>
          </w:tcPr>
          <w:p>
            <w:pPr>
              <w:pStyle w:val="17"/>
              <w:bidi w:val="0"/>
              <w:rPr>
                <w:rFonts w:hint="eastAsia"/>
                <w:color w:val="auto"/>
              </w:rPr>
            </w:pPr>
            <w:r>
              <w:rPr>
                <w:rFonts w:hint="eastAsia"/>
                <w:color w:val="auto"/>
              </w:rPr>
              <w:t>50%≤比例70%</w:t>
            </w:r>
          </w:p>
        </w:tc>
        <w:tc>
          <w:tcPr>
            <w:tcW w:w="639" w:type="pct"/>
            <w:gridSpan w:val="2"/>
            <w:vAlign w:val="center"/>
          </w:tcPr>
          <w:p>
            <w:pPr>
              <w:pStyle w:val="17"/>
              <w:bidi w:val="0"/>
              <w:rPr>
                <w:rFonts w:hint="eastAsia"/>
                <w:color w:val="auto"/>
              </w:rPr>
            </w:pPr>
            <w:r>
              <w:rPr>
                <w:rFonts w:hint="eastAsia"/>
                <w:color w:val="auto"/>
              </w:rPr>
              <w:t>3～5*</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restart"/>
            <w:vAlign w:val="center"/>
          </w:tcPr>
          <w:p>
            <w:pPr>
              <w:pStyle w:val="17"/>
              <w:bidi w:val="0"/>
              <w:rPr>
                <w:rFonts w:hint="eastAsia"/>
                <w:color w:val="auto"/>
              </w:rPr>
            </w:pPr>
          </w:p>
          <w:p>
            <w:pPr>
              <w:pStyle w:val="17"/>
              <w:bidi w:val="0"/>
              <w:rPr>
                <w:rFonts w:hint="eastAsia"/>
                <w:color w:val="auto"/>
              </w:rPr>
            </w:pPr>
            <w:r>
              <w:rPr>
                <w:rFonts w:hint="eastAsia"/>
                <w:color w:val="auto"/>
              </w:rPr>
              <w:t>围护墙和内隔墙Q2（20分）</w:t>
            </w:r>
          </w:p>
        </w:tc>
        <w:tc>
          <w:tcPr>
            <w:tcW w:w="796" w:type="pct"/>
            <w:vMerge w:val="restart"/>
            <w:vAlign w:val="center"/>
          </w:tcPr>
          <w:p>
            <w:pPr>
              <w:pStyle w:val="17"/>
              <w:bidi w:val="0"/>
              <w:rPr>
                <w:rFonts w:hint="eastAsia"/>
                <w:color w:val="auto"/>
              </w:rPr>
            </w:pPr>
          </w:p>
          <w:p>
            <w:pPr>
              <w:pStyle w:val="17"/>
              <w:bidi w:val="0"/>
              <w:rPr>
                <w:rFonts w:hint="eastAsia"/>
                <w:color w:val="auto"/>
              </w:rPr>
            </w:pPr>
            <w:r>
              <w:rPr>
                <w:rFonts w:hint="eastAsia"/>
                <w:color w:val="auto"/>
              </w:rPr>
              <w:t>非承重围护墙</w:t>
            </w:r>
          </w:p>
        </w:tc>
        <w:tc>
          <w:tcPr>
            <w:tcW w:w="1220" w:type="pct"/>
            <w:vAlign w:val="center"/>
          </w:tcPr>
          <w:p>
            <w:pPr>
              <w:pStyle w:val="17"/>
              <w:bidi w:val="0"/>
              <w:rPr>
                <w:rFonts w:hint="eastAsia"/>
                <w:color w:val="auto"/>
              </w:rPr>
            </w:pPr>
            <w:r>
              <w:rPr>
                <w:rFonts w:hint="eastAsia"/>
                <w:color w:val="auto"/>
              </w:rPr>
              <w:t>A、非承重围护墙非砌筑</w:t>
            </w:r>
          </w:p>
        </w:tc>
        <w:tc>
          <w:tcPr>
            <w:tcW w:w="680" w:type="pct"/>
            <w:vAlign w:val="center"/>
          </w:tcPr>
          <w:p>
            <w:pPr>
              <w:pStyle w:val="17"/>
              <w:bidi w:val="0"/>
              <w:rPr>
                <w:rFonts w:hint="eastAsia"/>
                <w:color w:val="auto"/>
              </w:rPr>
            </w:pPr>
            <w:r>
              <w:rPr>
                <w:rFonts w:hint="eastAsia"/>
                <w:color w:val="auto"/>
              </w:rPr>
              <w:t>比例≥80%</w:t>
            </w:r>
          </w:p>
        </w:tc>
        <w:tc>
          <w:tcPr>
            <w:tcW w:w="639" w:type="pct"/>
            <w:gridSpan w:val="2"/>
            <w:vAlign w:val="center"/>
          </w:tcPr>
          <w:p>
            <w:pPr>
              <w:pStyle w:val="17"/>
              <w:bidi w:val="0"/>
              <w:rPr>
                <w:rFonts w:hint="eastAsia"/>
                <w:color w:val="auto"/>
              </w:rPr>
            </w:pPr>
            <w:r>
              <w:rPr>
                <w:rFonts w:hint="eastAsia"/>
                <w:color w:val="auto"/>
              </w:rPr>
              <w:t>5</w:t>
            </w:r>
          </w:p>
        </w:tc>
        <w:tc>
          <w:tcPr>
            <w:tcW w:w="360" w:type="pct"/>
            <w:gridSpan w:val="2"/>
            <w:vMerge w:val="restart"/>
            <w:vAlign w:val="center"/>
          </w:tcPr>
          <w:p>
            <w:pPr>
              <w:pStyle w:val="17"/>
              <w:bidi w:val="0"/>
              <w:rPr>
                <w:rFonts w:hint="eastAsia"/>
                <w:color w:val="auto"/>
              </w:rPr>
            </w:pPr>
          </w:p>
          <w:p>
            <w:pPr>
              <w:pStyle w:val="17"/>
              <w:bidi w:val="0"/>
              <w:rPr>
                <w:rFonts w:hint="eastAsia"/>
                <w:color w:val="auto"/>
              </w:rPr>
            </w:pPr>
            <w:r>
              <w:rPr>
                <w:rFonts w:hint="eastAsia"/>
                <w:color w:val="auto"/>
              </w:rPr>
              <w:t>10</w:t>
            </w:r>
          </w:p>
        </w:tc>
        <w:tc>
          <w:tcPr>
            <w:tcW w:w="463" w:type="pct"/>
            <w:gridSpan w:val="2"/>
            <w:vAlign w:val="center"/>
          </w:tcPr>
          <w:p>
            <w:pPr>
              <w:pStyle w:val="17"/>
              <w:bidi w:val="0"/>
              <w:rPr>
                <w:rFonts w:hint="eastAsia"/>
                <w:color w:val="auto"/>
              </w:rPr>
            </w:pPr>
            <w:r>
              <w:rPr>
                <w:rFonts w:hint="eastAsia"/>
                <w:color w:val="auto"/>
              </w:rPr>
              <w:t>≥80%</w:t>
            </w:r>
          </w:p>
        </w:tc>
        <w:tc>
          <w:tcPr>
            <w:tcW w:w="335" w:type="pct"/>
            <w:vAlign w:val="center"/>
          </w:tcPr>
          <w:p>
            <w:pPr>
              <w:pStyle w:val="17"/>
              <w:bidi w:val="0"/>
              <w:rPr>
                <w:rFonts w:hint="eastAsia"/>
                <w:color w:val="auto"/>
              </w:rPr>
            </w:pPr>
            <w:r>
              <w:rPr>
                <w:rFonts w:hint="eastAsia"/>
                <w:color w:val="auto"/>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796" w:type="pct"/>
            <w:vMerge w:val="continue"/>
            <w:vAlign w:val="center"/>
          </w:tcPr>
          <w:p>
            <w:pPr>
              <w:pStyle w:val="17"/>
              <w:bidi w:val="0"/>
              <w:rPr>
                <w:rFonts w:hint="eastAsia"/>
                <w:color w:val="auto"/>
              </w:rPr>
            </w:pPr>
          </w:p>
        </w:tc>
        <w:tc>
          <w:tcPr>
            <w:tcW w:w="1220" w:type="pct"/>
            <w:vAlign w:val="center"/>
          </w:tcPr>
          <w:p>
            <w:pPr>
              <w:pStyle w:val="17"/>
              <w:bidi w:val="0"/>
              <w:rPr>
                <w:rFonts w:hint="eastAsia"/>
                <w:color w:val="auto"/>
              </w:rPr>
            </w:pPr>
            <w:r>
              <w:rPr>
                <w:rFonts w:hint="eastAsia"/>
                <w:color w:val="auto"/>
              </w:rPr>
              <w:t>B、采用新型模板施工工艺的全现浇外墙</w:t>
            </w:r>
          </w:p>
        </w:tc>
        <w:tc>
          <w:tcPr>
            <w:tcW w:w="680" w:type="pct"/>
            <w:vAlign w:val="center"/>
          </w:tcPr>
          <w:p>
            <w:pPr>
              <w:pStyle w:val="17"/>
              <w:bidi w:val="0"/>
              <w:rPr>
                <w:rFonts w:hint="eastAsia"/>
                <w:color w:val="auto"/>
              </w:rPr>
            </w:pPr>
            <w:r>
              <w:rPr>
                <w:rFonts w:hint="eastAsia"/>
                <w:color w:val="auto"/>
              </w:rPr>
              <w:t>比例≥85%</w:t>
            </w:r>
          </w:p>
        </w:tc>
        <w:tc>
          <w:tcPr>
            <w:tcW w:w="639" w:type="pct"/>
            <w:gridSpan w:val="2"/>
            <w:vAlign w:val="center"/>
          </w:tcPr>
          <w:p>
            <w:pPr>
              <w:pStyle w:val="17"/>
              <w:bidi w:val="0"/>
              <w:rPr>
                <w:rFonts w:hint="eastAsia"/>
                <w:color w:val="auto"/>
              </w:rPr>
            </w:pPr>
            <w:r>
              <w:rPr>
                <w:rFonts w:hint="eastAsia"/>
                <w:color w:val="auto"/>
              </w:rPr>
              <w:t>5</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796" w:type="pct"/>
            <w:vMerge w:val="restart"/>
            <w:vAlign w:val="center"/>
          </w:tcPr>
          <w:p>
            <w:pPr>
              <w:pStyle w:val="17"/>
              <w:bidi w:val="0"/>
              <w:rPr>
                <w:rFonts w:hint="eastAsia"/>
                <w:color w:val="auto"/>
              </w:rPr>
            </w:pPr>
            <w:r>
              <w:rPr>
                <w:rFonts w:hint="eastAsia"/>
                <w:color w:val="auto"/>
              </w:rPr>
              <w:t>外围护墙体集成化</w:t>
            </w:r>
          </w:p>
        </w:tc>
        <w:tc>
          <w:tcPr>
            <w:tcW w:w="1220" w:type="pct"/>
            <w:vAlign w:val="center"/>
          </w:tcPr>
          <w:p>
            <w:pPr>
              <w:pStyle w:val="17"/>
              <w:bidi w:val="0"/>
              <w:rPr>
                <w:rFonts w:hint="eastAsia"/>
                <w:color w:val="auto"/>
              </w:rPr>
            </w:pPr>
            <w:r>
              <w:rPr>
                <w:rFonts w:hint="eastAsia"/>
                <w:color w:val="auto"/>
              </w:rPr>
              <w:t>A、非砌筑围护墙与保温、隔热、装饰一体化</w:t>
            </w:r>
          </w:p>
        </w:tc>
        <w:tc>
          <w:tcPr>
            <w:tcW w:w="680" w:type="pct"/>
            <w:vAlign w:val="center"/>
          </w:tcPr>
          <w:p>
            <w:pPr>
              <w:pStyle w:val="17"/>
              <w:bidi w:val="0"/>
              <w:rPr>
                <w:rFonts w:hint="eastAsia"/>
                <w:color w:val="auto"/>
              </w:rPr>
            </w:pPr>
            <w:r>
              <w:rPr>
                <w:rFonts w:hint="eastAsia"/>
                <w:color w:val="auto"/>
              </w:rPr>
              <w:t>50%≤比例≤80%</w:t>
            </w:r>
          </w:p>
        </w:tc>
        <w:tc>
          <w:tcPr>
            <w:tcW w:w="639" w:type="pct"/>
            <w:gridSpan w:val="2"/>
            <w:vAlign w:val="center"/>
          </w:tcPr>
          <w:p>
            <w:pPr>
              <w:pStyle w:val="17"/>
              <w:bidi w:val="0"/>
              <w:rPr>
                <w:rFonts w:hint="eastAsia"/>
                <w:color w:val="auto"/>
              </w:rPr>
            </w:pPr>
            <w:r>
              <w:rPr>
                <w:rFonts w:hint="eastAsia"/>
                <w:color w:val="auto"/>
              </w:rPr>
              <w:t>2～5*</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796" w:type="pct"/>
            <w:vMerge w:val="continue"/>
            <w:vAlign w:val="center"/>
          </w:tcPr>
          <w:p>
            <w:pPr>
              <w:pStyle w:val="17"/>
              <w:bidi w:val="0"/>
              <w:rPr>
                <w:rFonts w:hint="eastAsia"/>
                <w:color w:val="auto"/>
              </w:rPr>
            </w:pPr>
          </w:p>
        </w:tc>
        <w:tc>
          <w:tcPr>
            <w:tcW w:w="1220" w:type="pct"/>
            <w:vAlign w:val="center"/>
          </w:tcPr>
          <w:p>
            <w:pPr>
              <w:pStyle w:val="17"/>
              <w:bidi w:val="0"/>
              <w:rPr>
                <w:rFonts w:hint="eastAsia"/>
                <w:color w:val="auto"/>
              </w:rPr>
            </w:pPr>
            <w:r>
              <w:rPr>
                <w:rFonts w:hint="eastAsia"/>
                <w:color w:val="auto"/>
              </w:rPr>
              <w:t>B、预制围护墙与保温、隔热一体化</w:t>
            </w:r>
          </w:p>
        </w:tc>
        <w:tc>
          <w:tcPr>
            <w:tcW w:w="680" w:type="pct"/>
            <w:vAlign w:val="center"/>
          </w:tcPr>
          <w:p>
            <w:pPr>
              <w:pStyle w:val="17"/>
              <w:bidi w:val="0"/>
              <w:rPr>
                <w:rFonts w:hint="eastAsia"/>
                <w:color w:val="auto"/>
              </w:rPr>
            </w:pPr>
            <w:r>
              <w:rPr>
                <w:rFonts w:hint="eastAsia"/>
                <w:color w:val="auto"/>
              </w:rPr>
              <w:t>50%≤比例≤80%</w:t>
            </w:r>
          </w:p>
        </w:tc>
        <w:tc>
          <w:tcPr>
            <w:tcW w:w="639" w:type="pct"/>
            <w:gridSpan w:val="2"/>
            <w:vAlign w:val="center"/>
          </w:tcPr>
          <w:p>
            <w:pPr>
              <w:pStyle w:val="17"/>
              <w:bidi w:val="0"/>
              <w:rPr>
                <w:rFonts w:hint="eastAsia"/>
                <w:color w:val="auto"/>
              </w:rPr>
            </w:pPr>
            <w:r>
              <w:rPr>
                <w:rFonts w:hint="eastAsia"/>
                <w:color w:val="auto"/>
              </w:rPr>
              <w:t>2～5*</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796" w:type="pct"/>
            <w:vMerge w:val="continue"/>
            <w:vAlign w:val="center"/>
          </w:tcPr>
          <w:p>
            <w:pPr>
              <w:pStyle w:val="17"/>
              <w:bidi w:val="0"/>
              <w:rPr>
                <w:rFonts w:hint="eastAsia"/>
                <w:color w:val="auto"/>
              </w:rPr>
            </w:pPr>
          </w:p>
        </w:tc>
        <w:tc>
          <w:tcPr>
            <w:tcW w:w="1220" w:type="pct"/>
            <w:vAlign w:val="center"/>
          </w:tcPr>
          <w:p>
            <w:pPr>
              <w:pStyle w:val="17"/>
              <w:bidi w:val="0"/>
              <w:rPr>
                <w:rFonts w:hint="eastAsia"/>
                <w:color w:val="auto"/>
              </w:rPr>
            </w:pPr>
            <w:r>
              <w:rPr>
                <w:rFonts w:hint="eastAsia"/>
                <w:color w:val="auto"/>
              </w:rPr>
              <w:t>C、采用干式工法保温装饰一体板施工</w:t>
            </w:r>
          </w:p>
        </w:tc>
        <w:tc>
          <w:tcPr>
            <w:tcW w:w="680" w:type="pct"/>
            <w:vAlign w:val="center"/>
          </w:tcPr>
          <w:p>
            <w:pPr>
              <w:pStyle w:val="17"/>
              <w:bidi w:val="0"/>
              <w:rPr>
                <w:rFonts w:hint="eastAsia"/>
                <w:color w:val="auto"/>
              </w:rPr>
            </w:pPr>
            <w:r>
              <w:rPr>
                <w:rFonts w:hint="eastAsia"/>
                <w:color w:val="auto"/>
              </w:rPr>
              <w:t>比例≥80%</w:t>
            </w:r>
          </w:p>
        </w:tc>
        <w:tc>
          <w:tcPr>
            <w:tcW w:w="639" w:type="pct"/>
            <w:gridSpan w:val="2"/>
            <w:vAlign w:val="center"/>
          </w:tcPr>
          <w:p>
            <w:pPr>
              <w:pStyle w:val="17"/>
              <w:bidi w:val="0"/>
              <w:rPr>
                <w:rFonts w:hint="eastAsia"/>
                <w:color w:val="auto"/>
              </w:rPr>
            </w:pPr>
            <w:r>
              <w:rPr>
                <w:rFonts w:hint="eastAsia"/>
                <w:color w:val="auto"/>
              </w:rPr>
              <w:t>3</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r>
              <w:rPr>
                <w:rFonts w:hint="eastAsia"/>
                <w:color w:val="auto"/>
              </w:rPr>
              <w:t>≥80%</w:t>
            </w:r>
          </w:p>
        </w:tc>
        <w:tc>
          <w:tcPr>
            <w:tcW w:w="335" w:type="pct"/>
            <w:vAlign w:val="center"/>
          </w:tcPr>
          <w:p>
            <w:pPr>
              <w:pStyle w:val="17"/>
              <w:bidi w:val="0"/>
              <w:rPr>
                <w:rFonts w:hint="eastAsia"/>
                <w:color w:val="auto"/>
              </w:rPr>
            </w:pPr>
            <w:r>
              <w:rPr>
                <w:rFonts w:hint="eastAsia"/>
                <w:color w:val="aut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2017" w:type="pct"/>
            <w:gridSpan w:val="2"/>
            <w:vAlign w:val="center"/>
          </w:tcPr>
          <w:p>
            <w:pPr>
              <w:pStyle w:val="17"/>
              <w:bidi w:val="0"/>
              <w:rPr>
                <w:rFonts w:hint="eastAsia"/>
                <w:color w:val="auto"/>
              </w:rPr>
            </w:pPr>
            <w:r>
              <w:rPr>
                <w:rFonts w:hint="eastAsia"/>
                <w:color w:val="auto"/>
              </w:rPr>
              <w:t>内隔墙非砌筑</w:t>
            </w:r>
          </w:p>
        </w:tc>
        <w:tc>
          <w:tcPr>
            <w:tcW w:w="680" w:type="pct"/>
            <w:vAlign w:val="center"/>
          </w:tcPr>
          <w:p>
            <w:pPr>
              <w:pStyle w:val="17"/>
              <w:bidi w:val="0"/>
              <w:rPr>
                <w:rFonts w:hint="eastAsia"/>
                <w:color w:val="auto"/>
              </w:rPr>
            </w:pPr>
            <w:r>
              <w:rPr>
                <w:rFonts w:hint="eastAsia"/>
                <w:color w:val="auto"/>
              </w:rPr>
              <w:t>比例≥50%</w:t>
            </w:r>
          </w:p>
        </w:tc>
        <w:tc>
          <w:tcPr>
            <w:tcW w:w="639" w:type="pct"/>
            <w:gridSpan w:val="2"/>
            <w:vAlign w:val="center"/>
          </w:tcPr>
          <w:p>
            <w:pPr>
              <w:pStyle w:val="17"/>
              <w:bidi w:val="0"/>
              <w:rPr>
                <w:rFonts w:hint="eastAsia"/>
                <w:color w:val="auto"/>
              </w:rPr>
            </w:pPr>
            <w:r>
              <w:rPr>
                <w:rFonts w:hint="eastAsia"/>
                <w:color w:val="auto"/>
              </w:rPr>
              <w:t>5</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r>
              <w:rPr>
                <w:rFonts w:hint="eastAsia"/>
                <w:color w:val="auto"/>
              </w:rPr>
              <w:t>≥50%</w:t>
            </w:r>
          </w:p>
        </w:tc>
        <w:tc>
          <w:tcPr>
            <w:tcW w:w="335" w:type="pct"/>
            <w:vAlign w:val="center"/>
          </w:tcPr>
          <w:p>
            <w:pPr>
              <w:pStyle w:val="17"/>
              <w:bidi w:val="0"/>
              <w:rPr>
                <w:rFonts w:hint="eastAsia"/>
                <w:color w:val="auto"/>
              </w:rPr>
            </w:pPr>
            <w:r>
              <w:rPr>
                <w:rFonts w:hint="eastAsia"/>
                <w:color w:val="auto"/>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796" w:type="pct"/>
            <w:vAlign w:val="center"/>
          </w:tcPr>
          <w:p>
            <w:pPr>
              <w:pStyle w:val="17"/>
              <w:bidi w:val="0"/>
              <w:rPr>
                <w:rFonts w:hint="eastAsia"/>
                <w:color w:val="auto"/>
              </w:rPr>
            </w:pPr>
            <w:r>
              <w:rPr>
                <w:rFonts w:hint="eastAsia"/>
                <w:color w:val="auto"/>
              </w:rPr>
              <w:t>内隔墙集成化</w:t>
            </w:r>
          </w:p>
        </w:tc>
        <w:tc>
          <w:tcPr>
            <w:tcW w:w="1220" w:type="pct"/>
            <w:vAlign w:val="center"/>
          </w:tcPr>
          <w:p>
            <w:pPr>
              <w:pStyle w:val="17"/>
              <w:bidi w:val="0"/>
              <w:rPr>
                <w:rFonts w:hint="eastAsia"/>
                <w:color w:val="auto"/>
              </w:rPr>
            </w:pPr>
            <w:r>
              <w:rPr>
                <w:rFonts w:hint="eastAsia"/>
                <w:color w:val="auto"/>
              </w:rPr>
              <w:t>A、内隔墙与管线、装修一体化</w:t>
            </w:r>
          </w:p>
        </w:tc>
        <w:tc>
          <w:tcPr>
            <w:tcW w:w="680" w:type="pct"/>
            <w:vAlign w:val="center"/>
          </w:tcPr>
          <w:p>
            <w:pPr>
              <w:pStyle w:val="17"/>
              <w:bidi w:val="0"/>
              <w:rPr>
                <w:rFonts w:hint="eastAsia"/>
                <w:color w:val="auto"/>
              </w:rPr>
            </w:pPr>
            <w:r>
              <w:rPr>
                <w:rFonts w:hint="eastAsia"/>
                <w:color w:val="auto"/>
              </w:rPr>
              <w:t>50%≤比例≤80%</w:t>
            </w:r>
          </w:p>
        </w:tc>
        <w:tc>
          <w:tcPr>
            <w:tcW w:w="639" w:type="pct"/>
            <w:gridSpan w:val="2"/>
            <w:vAlign w:val="center"/>
          </w:tcPr>
          <w:p>
            <w:pPr>
              <w:pStyle w:val="17"/>
              <w:bidi w:val="0"/>
              <w:rPr>
                <w:rFonts w:hint="eastAsia"/>
                <w:color w:val="auto"/>
              </w:rPr>
            </w:pPr>
            <w:r>
              <w:rPr>
                <w:rFonts w:hint="eastAsia"/>
                <w:color w:val="auto"/>
              </w:rPr>
              <w:t>2～5*</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Align w:val="center"/>
          </w:tcPr>
          <w:p>
            <w:pPr>
              <w:pStyle w:val="17"/>
              <w:bidi w:val="0"/>
              <w:rPr>
                <w:rFonts w:hint="eastAsia"/>
                <w:color w:val="auto"/>
              </w:rPr>
            </w:pPr>
          </w:p>
        </w:tc>
        <w:tc>
          <w:tcPr>
            <w:tcW w:w="796" w:type="pct"/>
            <w:vAlign w:val="center"/>
          </w:tcPr>
          <w:p>
            <w:pPr>
              <w:pStyle w:val="17"/>
              <w:bidi w:val="0"/>
              <w:rPr>
                <w:rFonts w:hint="eastAsia"/>
                <w:color w:val="auto"/>
              </w:rPr>
            </w:pPr>
          </w:p>
        </w:tc>
        <w:tc>
          <w:tcPr>
            <w:tcW w:w="1220" w:type="pct"/>
            <w:vAlign w:val="center"/>
          </w:tcPr>
          <w:p>
            <w:pPr>
              <w:pStyle w:val="17"/>
              <w:bidi w:val="0"/>
              <w:rPr>
                <w:rFonts w:hint="eastAsia"/>
                <w:color w:val="auto"/>
              </w:rPr>
            </w:pPr>
            <w:r>
              <w:rPr>
                <w:rFonts w:hint="eastAsia"/>
                <w:color w:val="auto"/>
              </w:rPr>
              <w:t>B、内隔墙与管线一体化</w:t>
            </w:r>
          </w:p>
        </w:tc>
        <w:tc>
          <w:tcPr>
            <w:tcW w:w="680" w:type="pct"/>
            <w:vAlign w:val="center"/>
          </w:tcPr>
          <w:p>
            <w:pPr>
              <w:pStyle w:val="17"/>
              <w:bidi w:val="0"/>
              <w:rPr>
                <w:rFonts w:hint="eastAsia"/>
                <w:color w:val="auto"/>
              </w:rPr>
            </w:pPr>
            <w:r>
              <w:rPr>
                <w:rFonts w:hint="eastAsia"/>
                <w:color w:val="auto"/>
              </w:rPr>
              <w:t>50%≤比例80%</w:t>
            </w:r>
          </w:p>
        </w:tc>
        <w:tc>
          <w:tcPr>
            <w:tcW w:w="639" w:type="pct"/>
            <w:gridSpan w:val="2"/>
            <w:vAlign w:val="center"/>
          </w:tcPr>
          <w:p>
            <w:pPr>
              <w:pStyle w:val="17"/>
              <w:bidi w:val="0"/>
              <w:rPr>
                <w:rFonts w:hint="eastAsia"/>
                <w:color w:val="auto"/>
              </w:rPr>
            </w:pPr>
            <w:r>
              <w:rPr>
                <w:rFonts w:hint="eastAsia"/>
                <w:color w:val="auto"/>
              </w:rPr>
              <w:t>1.4~3.5*</w:t>
            </w:r>
          </w:p>
        </w:tc>
        <w:tc>
          <w:tcPr>
            <w:tcW w:w="360" w:type="pct"/>
            <w:gridSpan w:val="2"/>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p>
            <w:pPr>
              <w:pStyle w:val="17"/>
              <w:bidi w:val="0"/>
              <w:rPr>
                <w:rFonts w:hint="eastAsia"/>
                <w:color w:val="auto"/>
              </w:rPr>
            </w:pPr>
            <w:r>
              <w:rPr>
                <w:rFonts w:hint="eastAsia"/>
                <w:color w:val="auto"/>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restart"/>
            <w:vAlign w:val="center"/>
          </w:tcPr>
          <w:p>
            <w:pPr>
              <w:pStyle w:val="17"/>
              <w:bidi w:val="0"/>
              <w:rPr>
                <w:rFonts w:hint="eastAsia"/>
                <w:color w:val="auto"/>
              </w:rPr>
            </w:pPr>
          </w:p>
          <w:p>
            <w:pPr>
              <w:pStyle w:val="17"/>
              <w:bidi w:val="0"/>
              <w:rPr>
                <w:rFonts w:hint="eastAsia"/>
                <w:color w:val="auto"/>
              </w:rPr>
            </w:pPr>
            <w:r>
              <w:rPr>
                <w:rFonts w:hint="eastAsia"/>
                <w:color w:val="auto"/>
              </w:rPr>
              <w:t>装修和设备管线Q3</w:t>
            </w:r>
          </w:p>
          <w:p>
            <w:pPr>
              <w:pStyle w:val="17"/>
              <w:bidi w:val="0"/>
              <w:rPr>
                <w:rFonts w:hint="eastAsia"/>
                <w:color w:val="auto"/>
              </w:rPr>
            </w:pPr>
            <w:r>
              <w:rPr>
                <w:rFonts w:hint="eastAsia"/>
                <w:color w:val="auto"/>
              </w:rPr>
              <w:t>（20分）</w:t>
            </w:r>
          </w:p>
        </w:tc>
        <w:tc>
          <w:tcPr>
            <w:tcW w:w="796" w:type="pct"/>
            <w:vMerge w:val="restart"/>
            <w:vAlign w:val="center"/>
          </w:tcPr>
          <w:p>
            <w:pPr>
              <w:pStyle w:val="17"/>
              <w:bidi w:val="0"/>
              <w:rPr>
                <w:rFonts w:hint="eastAsia"/>
                <w:color w:val="auto"/>
              </w:rPr>
            </w:pPr>
          </w:p>
          <w:p>
            <w:pPr>
              <w:pStyle w:val="17"/>
              <w:bidi w:val="0"/>
              <w:rPr>
                <w:rFonts w:hint="eastAsia"/>
                <w:color w:val="auto"/>
              </w:rPr>
            </w:pPr>
            <w:r>
              <w:rPr>
                <w:rFonts w:hint="eastAsia"/>
                <w:color w:val="auto"/>
              </w:rPr>
              <w:t>全装修</w:t>
            </w:r>
          </w:p>
        </w:tc>
        <w:tc>
          <w:tcPr>
            <w:tcW w:w="1220" w:type="pct"/>
            <w:vAlign w:val="center"/>
          </w:tcPr>
          <w:p>
            <w:pPr>
              <w:pStyle w:val="17"/>
              <w:bidi w:val="0"/>
              <w:rPr>
                <w:rFonts w:hint="eastAsia"/>
                <w:color w:val="auto"/>
              </w:rPr>
            </w:pPr>
            <w:r>
              <w:rPr>
                <w:rFonts w:hint="eastAsia"/>
                <w:color w:val="auto"/>
              </w:rPr>
              <w:t>A、全装修</w:t>
            </w:r>
          </w:p>
        </w:tc>
        <w:tc>
          <w:tcPr>
            <w:tcW w:w="680" w:type="pct"/>
            <w:vAlign w:val="center"/>
          </w:tcPr>
          <w:p>
            <w:pPr>
              <w:pStyle w:val="17"/>
              <w:bidi w:val="0"/>
              <w:rPr>
                <w:rFonts w:hint="eastAsia"/>
                <w:color w:val="auto"/>
              </w:rPr>
            </w:pPr>
            <w:r>
              <w:rPr>
                <w:rFonts w:hint="eastAsia"/>
                <w:color w:val="auto"/>
              </w:rPr>
              <w:t>─</w:t>
            </w:r>
          </w:p>
        </w:tc>
        <w:tc>
          <w:tcPr>
            <w:tcW w:w="639" w:type="pct"/>
            <w:gridSpan w:val="2"/>
            <w:vAlign w:val="center"/>
          </w:tcPr>
          <w:p>
            <w:pPr>
              <w:pStyle w:val="17"/>
              <w:bidi w:val="0"/>
              <w:rPr>
                <w:rFonts w:hint="eastAsia"/>
                <w:color w:val="auto"/>
              </w:rPr>
            </w:pPr>
            <w:r>
              <w:rPr>
                <w:rFonts w:hint="eastAsia"/>
                <w:color w:val="auto"/>
              </w:rPr>
              <w:t>6</w:t>
            </w:r>
          </w:p>
        </w:tc>
        <w:tc>
          <w:tcPr>
            <w:tcW w:w="360" w:type="pct"/>
            <w:gridSpan w:val="2"/>
            <w:vMerge w:val="restart"/>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r>
              <w:rPr>
                <w:rFonts w:hint="eastAsia"/>
                <w:color w:val="auto"/>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796" w:type="pct"/>
            <w:vMerge w:val="continue"/>
            <w:vAlign w:val="center"/>
          </w:tcPr>
          <w:p>
            <w:pPr>
              <w:pStyle w:val="17"/>
              <w:bidi w:val="0"/>
              <w:rPr>
                <w:rFonts w:hint="eastAsia"/>
                <w:color w:val="auto"/>
              </w:rPr>
            </w:pPr>
          </w:p>
        </w:tc>
        <w:tc>
          <w:tcPr>
            <w:tcW w:w="1220" w:type="pct"/>
            <w:vAlign w:val="center"/>
          </w:tcPr>
          <w:p>
            <w:pPr>
              <w:pStyle w:val="17"/>
              <w:bidi w:val="0"/>
              <w:rPr>
                <w:rFonts w:hint="eastAsia"/>
                <w:color w:val="auto"/>
              </w:rPr>
            </w:pPr>
            <w:r>
              <w:rPr>
                <w:rFonts w:hint="eastAsia"/>
                <w:color w:val="auto"/>
              </w:rPr>
              <w:t>B、公共建筑中仅公区和确定使用功能区域装修</w:t>
            </w:r>
          </w:p>
        </w:tc>
        <w:tc>
          <w:tcPr>
            <w:tcW w:w="680" w:type="pct"/>
            <w:vAlign w:val="center"/>
          </w:tcPr>
          <w:p>
            <w:pPr>
              <w:pStyle w:val="17"/>
              <w:bidi w:val="0"/>
              <w:rPr>
                <w:rFonts w:hint="eastAsia"/>
                <w:color w:val="auto"/>
              </w:rPr>
            </w:pPr>
            <w:r>
              <w:rPr>
                <w:rFonts w:hint="eastAsia"/>
                <w:color w:val="auto"/>
              </w:rPr>
              <w:t>─</w:t>
            </w:r>
          </w:p>
        </w:tc>
        <w:tc>
          <w:tcPr>
            <w:tcW w:w="639" w:type="pct"/>
            <w:gridSpan w:val="2"/>
            <w:vAlign w:val="center"/>
          </w:tcPr>
          <w:p>
            <w:pPr>
              <w:pStyle w:val="17"/>
              <w:bidi w:val="0"/>
              <w:rPr>
                <w:rFonts w:hint="eastAsia"/>
                <w:color w:val="auto"/>
              </w:rPr>
            </w:pPr>
            <w:r>
              <w:rPr>
                <w:rFonts w:hint="eastAsia"/>
                <w:color w:val="auto"/>
              </w:rPr>
              <w:t>3</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restart"/>
            <w:vAlign w:val="center"/>
          </w:tcPr>
          <w:p>
            <w:pPr>
              <w:pStyle w:val="17"/>
              <w:bidi w:val="0"/>
              <w:rPr>
                <w:rFonts w:hint="eastAsia"/>
                <w:color w:val="auto"/>
              </w:rPr>
            </w:pPr>
          </w:p>
        </w:tc>
        <w:tc>
          <w:tcPr>
            <w:tcW w:w="2017" w:type="pct"/>
            <w:gridSpan w:val="2"/>
            <w:vAlign w:val="center"/>
          </w:tcPr>
          <w:p>
            <w:pPr>
              <w:pStyle w:val="17"/>
              <w:bidi w:val="0"/>
              <w:rPr>
                <w:rFonts w:hint="eastAsia"/>
                <w:color w:val="auto"/>
              </w:rPr>
            </w:pPr>
            <w:r>
              <w:rPr>
                <w:rFonts w:hint="eastAsia"/>
                <w:color w:val="auto"/>
              </w:rPr>
              <w:t>干式工法的楼面、地面</w:t>
            </w:r>
          </w:p>
        </w:tc>
        <w:tc>
          <w:tcPr>
            <w:tcW w:w="680" w:type="pct"/>
            <w:vAlign w:val="center"/>
          </w:tcPr>
          <w:p>
            <w:pPr>
              <w:pStyle w:val="17"/>
              <w:bidi w:val="0"/>
              <w:rPr>
                <w:rFonts w:hint="eastAsia"/>
                <w:color w:val="auto"/>
              </w:rPr>
            </w:pPr>
            <w:r>
              <w:rPr>
                <w:rFonts w:hint="eastAsia"/>
                <w:color w:val="auto"/>
              </w:rPr>
              <w:t>50%≤比例≤70%</w:t>
            </w:r>
          </w:p>
        </w:tc>
        <w:tc>
          <w:tcPr>
            <w:tcW w:w="639" w:type="pct"/>
            <w:gridSpan w:val="2"/>
            <w:vAlign w:val="center"/>
          </w:tcPr>
          <w:p>
            <w:pPr>
              <w:pStyle w:val="17"/>
              <w:bidi w:val="0"/>
              <w:rPr>
                <w:rFonts w:hint="eastAsia"/>
                <w:color w:val="auto"/>
              </w:rPr>
            </w:pPr>
            <w:r>
              <w:rPr>
                <w:rFonts w:hint="eastAsia"/>
                <w:color w:val="auto"/>
              </w:rPr>
              <w:t>2～4*</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2017" w:type="pct"/>
            <w:gridSpan w:val="2"/>
            <w:vAlign w:val="center"/>
          </w:tcPr>
          <w:p>
            <w:pPr>
              <w:pStyle w:val="17"/>
              <w:bidi w:val="0"/>
              <w:rPr>
                <w:rFonts w:hint="eastAsia"/>
                <w:color w:val="auto"/>
              </w:rPr>
            </w:pPr>
            <w:r>
              <w:rPr>
                <w:rFonts w:hint="eastAsia"/>
                <w:color w:val="auto"/>
              </w:rPr>
              <w:t>集成厨房</w:t>
            </w:r>
          </w:p>
        </w:tc>
        <w:tc>
          <w:tcPr>
            <w:tcW w:w="680" w:type="pct"/>
            <w:vAlign w:val="center"/>
          </w:tcPr>
          <w:p>
            <w:pPr>
              <w:pStyle w:val="17"/>
              <w:bidi w:val="0"/>
              <w:rPr>
                <w:rFonts w:hint="eastAsia"/>
                <w:color w:val="auto"/>
              </w:rPr>
            </w:pPr>
            <w:r>
              <w:rPr>
                <w:rFonts w:hint="eastAsia"/>
                <w:color w:val="auto"/>
              </w:rPr>
              <w:t>比例≥70%</w:t>
            </w:r>
          </w:p>
        </w:tc>
        <w:tc>
          <w:tcPr>
            <w:tcW w:w="639" w:type="pct"/>
            <w:gridSpan w:val="2"/>
            <w:vAlign w:val="center"/>
          </w:tcPr>
          <w:p>
            <w:pPr>
              <w:pStyle w:val="17"/>
              <w:bidi w:val="0"/>
              <w:rPr>
                <w:rFonts w:hint="eastAsia"/>
                <w:color w:val="auto"/>
              </w:rPr>
            </w:pPr>
            <w:r>
              <w:rPr>
                <w:rFonts w:hint="eastAsia"/>
                <w:color w:val="auto"/>
              </w:rPr>
              <w:t>3</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r>
              <w:rPr>
                <w:rFonts w:hint="eastAsia"/>
                <w:color w:val="auto"/>
              </w:rPr>
              <w:t>缺项</w:t>
            </w: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2017" w:type="pct"/>
            <w:gridSpan w:val="2"/>
            <w:vAlign w:val="center"/>
          </w:tcPr>
          <w:p>
            <w:pPr>
              <w:pStyle w:val="17"/>
              <w:bidi w:val="0"/>
              <w:rPr>
                <w:rFonts w:hint="eastAsia"/>
                <w:color w:val="auto"/>
              </w:rPr>
            </w:pPr>
            <w:r>
              <w:rPr>
                <w:rFonts w:hint="eastAsia"/>
                <w:color w:val="auto"/>
              </w:rPr>
              <w:t>集成卫生间</w:t>
            </w:r>
          </w:p>
        </w:tc>
        <w:tc>
          <w:tcPr>
            <w:tcW w:w="680" w:type="pct"/>
            <w:vAlign w:val="center"/>
          </w:tcPr>
          <w:p>
            <w:pPr>
              <w:pStyle w:val="17"/>
              <w:bidi w:val="0"/>
              <w:rPr>
                <w:rFonts w:hint="eastAsia"/>
                <w:color w:val="auto"/>
              </w:rPr>
            </w:pPr>
            <w:r>
              <w:rPr>
                <w:rFonts w:hint="eastAsia"/>
                <w:color w:val="auto"/>
              </w:rPr>
              <w:t>比例≥70%</w:t>
            </w:r>
          </w:p>
        </w:tc>
        <w:tc>
          <w:tcPr>
            <w:tcW w:w="639" w:type="pct"/>
            <w:gridSpan w:val="2"/>
            <w:vAlign w:val="center"/>
          </w:tcPr>
          <w:p>
            <w:pPr>
              <w:pStyle w:val="17"/>
              <w:bidi w:val="0"/>
              <w:rPr>
                <w:rFonts w:hint="eastAsia"/>
                <w:color w:val="auto"/>
              </w:rPr>
            </w:pPr>
            <w:r>
              <w:rPr>
                <w:rFonts w:hint="eastAsia"/>
                <w:color w:val="auto"/>
              </w:rPr>
              <w:t>3</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2017" w:type="pct"/>
            <w:gridSpan w:val="2"/>
            <w:vAlign w:val="center"/>
          </w:tcPr>
          <w:p>
            <w:pPr>
              <w:pStyle w:val="17"/>
              <w:bidi w:val="0"/>
              <w:rPr>
                <w:rFonts w:hint="eastAsia"/>
                <w:color w:val="auto"/>
              </w:rPr>
            </w:pPr>
            <w:r>
              <w:rPr>
                <w:rFonts w:hint="eastAsia"/>
                <w:color w:val="auto"/>
              </w:rPr>
              <w:t>管线分离</w:t>
            </w:r>
          </w:p>
        </w:tc>
        <w:tc>
          <w:tcPr>
            <w:tcW w:w="680" w:type="pct"/>
            <w:vAlign w:val="center"/>
          </w:tcPr>
          <w:p>
            <w:pPr>
              <w:pStyle w:val="17"/>
              <w:bidi w:val="0"/>
              <w:rPr>
                <w:rFonts w:hint="eastAsia"/>
                <w:color w:val="auto"/>
              </w:rPr>
            </w:pPr>
            <w:r>
              <w:rPr>
                <w:rFonts w:hint="eastAsia"/>
                <w:color w:val="auto"/>
              </w:rPr>
              <w:t>比例≥50%</w:t>
            </w:r>
          </w:p>
        </w:tc>
        <w:tc>
          <w:tcPr>
            <w:tcW w:w="639" w:type="pct"/>
            <w:gridSpan w:val="2"/>
            <w:vAlign w:val="center"/>
          </w:tcPr>
          <w:p>
            <w:pPr>
              <w:pStyle w:val="17"/>
              <w:bidi w:val="0"/>
              <w:rPr>
                <w:rFonts w:hint="eastAsia"/>
                <w:color w:val="auto"/>
              </w:rPr>
            </w:pPr>
            <w:r>
              <w:rPr>
                <w:rFonts w:hint="eastAsia"/>
                <w:color w:val="auto"/>
              </w:rPr>
              <w:t>4</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restart"/>
            <w:vAlign w:val="center"/>
          </w:tcPr>
          <w:p>
            <w:pPr>
              <w:pStyle w:val="17"/>
              <w:bidi w:val="0"/>
              <w:rPr>
                <w:rFonts w:hint="eastAsia"/>
                <w:color w:val="auto"/>
              </w:rPr>
            </w:pPr>
            <w:r>
              <w:rPr>
                <w:rFonts w:hint="eastAsia"/>
                <w:color w:val="auto"/>
              </w:rPr>
              <w:t>标准化、信息化、智能化应用Q4（10分）</w:t>
            </w:r>
          </w:p>
        </w:tc>
        <w:tc>
          <w:tcPr>
            <w:tcW w:w="796" w:type="pct"/>
            <w:vMerge w:val="restart"/>
            <w:vAlign w:val="center"/>
          </w:tcPr>
          <w:p>
            <w:pPr>
              <w:pStyle w:val="17"/>
              <w:bidi w:val="0"/>
              <w:rPr>
                <w:rFonts w:hint="eastAsia"/>
                <w:color w:val="auto"/>
              </w:rPr>
            </w:pPr>
            <w:r>
              <w:rPr>
                <w:rFonts w:hint="eastAsia"/>
                <w:color w:val="auto"/>
              </w:rPr>
              <w:t>标准化设计</w:t>
            </w:r>
          </w:p>
        </w:tc>
        <w:tc>
          <w:tcPr>
            <w:tcW w:w="1220" w:type="pct"/>
            <w:vAlign w:val="center"/>
          </w:tcPr>
          <w:p>
            <w:pPr>
              <w:pStyle w:val="17"/>
              <w:bidi w:val="0"/>
              <w:rPr>
                <w:rFonts w:hint="eastAsia"/>
                <w:color w:val="auto"/>
              </w:rPr>
            </w:pPr>
            <w:r>
              <w:rPr>
                <w:rFonts w:hint="eastAsia"/>
                <w:color w:val="auto"/>
              </w:rPr>
              <w:t>A、平面布置标准化</w:t>
            </w:r>
          </w:p>
        </w:tc>
        <w:tc>
          <w:tcPr>
            <w:tcW w:w="680" w:type="pct"/>
            <w:vAlign w:val="center"/>
          </w:tcPr>
          <w:p>
            <w:pPr>
              <w:pStyle w:val="17"/>
              <w:bidi w:val="0"/>
              <w:rPr>
                <w:rFonts w:hint="eastAsia"/>
                <w:color w:val="auto"/>
              </w:rPr>
            </w:pPr>
            <w:r>
              <w:rPr>
                <w:rFonts w:hint="eastAsia"/>
                <w:color w:val="auto"/>
              </w:rPr>
              <w:t>比例≥50%</w:t>
            </w:r>
          </w:p>
        </w:tc>
        <w:tc>
          <w:tcPr>
            <w:tcW w:w="639" w:type="pct"/>
            <w:gridSpan w:val="2"/>
            <w:vAlign w:val="center"/>
          </w:tcPr>
          <w:p>
            <w:pPr>
              <w:pStyle w:val="17"/>
              <w:bidi w:val="0"/>
              <w:rPr>
                <w:rFonts w:hint="eastAsia"/>
                <w:color w:val="auto"/>
              </w:rPr>
            </w:pPr>
            <w:r>
              <w:rPr>
                <w:rFonts w:hint="eastAsia"/>
                <w:color w:val="auto"/>
              </w:rPr>
              <w:t>2</w:t>
            </w:r>
          </w:p>
        </w:tc>
        <w:tc>
          <w:tcPr>
            <w:tcW w:w="360" w:type="pct"/>
            <w:gridSpan w:val="2"/>
            <w:vMerge w:val="restart"/>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796" w:type="pct"/>
            <w:vMerge w:val="continue"/>
            <w:vAlign w:val="center"/>
          </w:tcPr>
          <w:p>
            <w:pPr>
              <w:pStyle w:val="17"/>
              <w:bidi w:val="0"/>
              <w:rPr>
                <w:rFonts w:hint="eastAsia"/>
                <w:color w:val="auto"/>
              </w:rPr>
            </w:pPr>
          </w:p>
        </w:tc>
        <w:tc>
          <w:tcPr>
            <w:tcW w:w="1220" w:type="pct"/>
            <w:vAlign w:val="center"/>
          </w:tcPr>
          <w:p>
            <w:pPr>
              <w:pStyle w:val="17"/>
              <w:bidi w:val="0"/>
              <w:rPr>
                <w:rFonts w:hint="eastAsia"/>
                <w:color w:val="auto"/>
              </w:rPr>
            </w:pPr>
            <w:r>
              <w:rPr>
                <w:rFonts w:hint="eastAsia"/>
                <w:color w:val="auto"/>
              </w:rPr>
              <w:t>B、部品部件标准化</w:t>
            </w:r>
          </w:p>
        </w:tc>
        <w:tc>
          <w:tcPr>
            <w:tcW w:w="680" w:type="pct"/>
            <w:vAlign w:val="center"/>
          </w:tcPr>
          <w:p>
            <w:pPr>
              <w:pStyle w:val="17"/>
              <w:bidi w:val="0"/>
              <w:rPr>
                <w:rFonts w:hint="eastAsia"/>
                <w:color w:val="auto"/>
              </w:rPr>
            </w:pPr>
            <w:r>
              <w:rPr>
                <w:rFonts w:hint="eastAsia"/>
                <w:color w:val="auto"/>
              </w:rPr>
              <w:t>50%≤比例≤70%</w:t>
            </w:r>
          </w:p>
        </w:tc>
        <w:tc>
          <w:tcPr>
            <w:tcW w:w="639" w:type="pct"/>
            <w:gridSpan w:val="2"/>
            <w:vAlign w:val="center"/>
          </w:tcPr>
          <w:p>
            <w:pPr>
              <w:pStyle w:val="17"/>
              <w:bidi w:val="0"/>
              <w:rPr>
                <w:rFonts w:hint="eastAsia"/>
                <w:color w:val="auto"/>
              </w:rPr>
            </w:pPr>
            <w:r>
              <w:rPr>
                <w:rFonts w:hint="eastAsia"/>
                <w:color w:val="auto"/>
              </w:rPr>
              <w:t>3～5*</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r>
              <w:rPr>
                <w:rFonts w:hint="eastAsia"/>
                <w:color w:val="auto"/>
              </w:rPr>
              <w:t>≥70%</w:t>
            </w:r>
          </w:p>
        </w:tc>
        <w:tc>
          <w:tcPr>
            <w:tcW w:w="335" w:type="pct"/>
            <w:vAlign w:val="center"/>
          </w:tcPr>
          <w:p>
            <w:pPr>
              <w:pStyle w:val="17"/>
              <w:bidi w:val="0"/>
              <w:rPr>
                <w:rFonts w:hint="eastAsia"/>
                <w:color w:val="auto"/>
              </w:rPr>
            </w:pPr>
            <w:r>
              <w:rPr>
                <w:rFonts w:hint="eastAsia"/>
                <w:color w:val="auto"/>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796" w:type="pct"/>
            <w:vAlign w:val="center"/>
          </w:tcPr>
          <w:p>
            <w:pPr>
              <w:pStyle w:val="17"/>
              <w:bidi w:val="0"/>
              <w:rPr>
                <w:rFonts w:hint="eastAsia"/>
                <w:color w:val="auto"/>
              </w:rPr>
            </w:pPr>
            <w:r>
              <w:rPr>
                <w:rFonts w:hint="eastAsia"/>
                <w:color w:val="auto"/>
              </w:rPr>
              <w:t>智能建造平台应用</w:t>
            </w:r>
          </w:p>
        </w:tc>
        <w:tc>
          <w:tcPr>
            <w:tcW w:w="1220" w:type="pct"/>
            <w:vAlign w:val="center"/>
          </w:tcPr>
          <w:p>
            <w:pPr>
              <w:pStyle w:val="17"/>
              <w:bidi w:val="0"/>
              <w:rPr>
                <w:rFonts w:hint="eastAsia"/>
                <w:color w:val="auto"/>
              </w:rPr>
            </w:pPr>
            <w:r>
              <w:rPr>
                <w:rFonts w:hint="eastAsia"/>
                <w:color w:val="auto"/>
              </w:rPr>
              <w:t>项目全流程采用湖南省装配式全产业链智能建造平台</w:t>
            </w:r>
          </w:p>
        </w:tc>
        <w:tc>
          <w:tcPr>
            <w:tcW w:w="680" w:type="pct"/>
            <w:vAlign w:val="center"/>
          </w:tcPr>
          <w:p>
            <w:pPr>
              <w:pStyle w:val="17"/>
              <w:bidi w:val="0"/>
              <w:rPr>
                <w:rFonts w:hint="eastAsia"/>
                <w:color w:val="auto"/>
              </w:rPr>
            </w:pPr>
            <w:r>
              <w:rPr>
                <w:rFonts w:hint="eastAsia"/>
                <w:color w:val="auto"/>
              </w:rPr>
              <w:t>-</w:t>
            </w:r>
          </w:p>
        </w:tc>
        <w:tc>
          <w:tcPr>
            <w:tcW w:w="639" w:type="pct"/>
            <w:gridSpan w:val="2"/>
            <w:vAlign w:val="center"/>
          </w:tcPr>
          <w:p>
            <w:pPr>
              <w:pStyle w:val="17"/>
              <w:bidi w:val="0"/>
              <w:rPr>
                <w:rFonts w:hint="eastAsia"/>
                <w:color w:val="auto"/>
              </w:rPr>
            </w:pPr>
            <w:r>
              <w:rPr>
                <w:rFonts w:hint="eastAsia"/>
                <w:color w:val="auto"/>
              </w:rPr>
              <w:t>2</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r>
              <w:rPr>
                <w:rFonts w:hint="eastAsia"/>
                <w:color w:val="aut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796" w:type="pct"/>
            <w:vAlign w:val="center"/>
          </w:tcPr>
          <w:p>
            <w:pPr>
              <w:pStyle w:val="17"/>
              <w:bidi w:val="0"/>
              <w:rPr>
                <w:rFonts w:hint="eastAsia"/>
                <w:color w:val="auto"/>
              </w:rPr>
            </w:pPr>
            <w:r>
              <w:rPr>
                <w:rFonts w:hint="eastAsia"/>
                <w:color w:val="auto"/>
              </w:rPr>
              <w:t>BIM技术与信息化管理应用</w:t>
            </w:r>
          </w:p>
        </w:tc>
        <w:tc>
          <w:tcPr>
            <w:tcW w:w="1220" w:type="pct"/>
            <w:vAlign w:val="center"/>
          </w:tcPr>
          <w:p>
            <w:pPr>
              <w:pStyle w:val="17"/>
              <w:bidi w:val="0"/>
              <w:rPr>
                <w:rFonts w:hint="eastAsia"/>
                <w:color w:val="auto"/>
              </w:rPr>
            </w:pPr>
            <w:r>
              <w:rPr>
                <w:rFonts w:hint="eastAsia"/>
                <w:color w:val="auto"/>
              </w:rPr>
              <w:t>设计阶段应用BIM技术</w:t>
            </w:r>
          </w:p>
        </w:tc>
        <w:tc>
          <w:tcPr>
            <w:tcW w:w="680" w:type="pct"/>
            <w:vAlign w:val="center"/>
          </w:tcPr>
          <w:p>
            <w:pPr>
              <w:pStyle w:val="17"/>
              <w:bidi w:val="0"/>
              <w:rPr>
                <w:rFonts w:hint="eastAsia"/>
                <w:color w:val="auto"/>
              </w:rPr>
            </w:pPr>
            <w:r>
              <w:rPr>
                <w:rFonts w:hint="eastAsia"/>
                <w:color w:val="auto"/>
              </w:rPr>
              <w:t>BIM文件通过施工图审查</w:t>
            </w:r>
          </w:p>
        </w:tc>
        <w:tc>
          <w:tcPr>
            <w:tcW w:w="639" w:type="pct"/>
            <w:gridSpan w:val="2"/>
            <w:vAlign w:val="center"/>
          </w:tcPr>
          <w:p>
            <w:pPr>
              <w:pStyle w:val="17"/>
              <w:bidi w:val="0"/>
              <w:rPr>
                <w:rFonts w:hint="eastAsia"/>
                <w:color w:val="auto"/>
              </w:rPr>
            </w:pPr>
            <w:r>
              <w:rPr>
                <w:rFonts w:hint="eastAsia"/>
                <w:color w:val="auto"/>
              </w:rPr>
              <w:t>3</w:t>
            </w:r>
          </w:p>
        </w:tc>
        <w:tc>
          <w:tcPr>
            <w:tcW w:w="360" w:type="pct"/>
            <w:gridSpan w:val="2"/>
            <w:vMerge w:val="continue"/>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restart"/>
            <w:vAlign w:val="center"/>
          </w:tcPr>
          <w:p>
            <w:pPr>
              <w:pStyle w:val="17"/>
              <w:bidi w:val="0"/>
              <w:rPr>
                <w:rFonts w:hint="eastAsia"/>
                <w:color w:val="auto"/>
              </w:rPr>
            </w:pPr>
            <w:r>
              <w:rPr>
                <w:rFonts w:hint="eastAsia"/>
                <w:color w:val="auto"/>
              </w:rPr>
              <w:t>加分项Q5（6）</w:t>
            </w:r>
          </w:p>
        </w:tc>
        <w:tc>
          <w:tcPr>
            <w:tcW w:w="796" w:type="pct"/>
            <w:vMerge w:val="restart"/>
            <w:vAlign w:val="center"/>
          </w:tcPr>
          <w:p>
            <w:pPr>
              <w:pStyle w:val="17"/>
              <w:bidi w:val="0"/>
              <w:rPr>
                <w:rFonts w:hint="eastAsia"/>
                <w:color w:val="auto"/>
              </w:rPr>
            </w:pPr>
            <w:r>
              <w:rPr>
                <w:rFonts w:hint="eastAsia"/>
                <w:color w:val="auto"/>
              </w:rPr>
              <w:t>采用产品化</w:t>
            </w:r>
          </w:p>
          <w:p>
            <w:pPr>
              <w:pStyle w:val="17"/>
              <w:bidi w:val="0"/>
              <w:rPr>
                <w:rFonts w:hint="eastAsia"/>
                <w:color w:val="auto"/>
              </w:rPr>
            </w:pPr>
            <w:r>
              <w:rPr>
                <w:rFonts w:hint="eastAsia"/>
                <w:color w:val="auto"/>
              </w:rPr>
              <w:t>建造方式</w:t>
            </w:r>
          </w:p>
        </w:tc>
        <w:tc>
          <w:tcPr>
            <w:tcW w:w="1220" w:type="pct"/>
            <w:vAlign w:val="center"/>
          </w:tcPr>
          <w:p>
            <w:pPr>
              <w:pStyle w:val="17"/>
              <w:bidi w:val="0"/>
              <w:rPr>
                <w:rFonts w:hint="eastAsia"/>
                <w:color w:val="auto"/>
              </w:rPr>
            </w:pPr>
            <w:r>
              <w:rPr>
                <w:rFonts w:hint="eastAsia"/>
                <w:color w:val="auto"/>
              </w:rPr>
              <w:t>采用工程总承包、全过程工程咨询、建筑师负责制等一体化工程组织模式</w:t>
            </w:r>
          </w:p>
        </w:tc>
        <w:tc>
          <w:tcPr>
            <w:tcW w:w="680" w:type="pct"/>
            <w:vAlign w:val="center"/>
          </w:tcPr>
          <w:p>
            <w:pPr>
              <w:pStyle w:val="17"/>
              <w:bidi w:val="0"/>
              <w:rPr>
                <w:rFonts w:hint="eastAsia"/>
                <w:color w:val="auto"/>
              </w:rPr>
            </w:pPr>
          </w:p>
        </w:tc>
        <w:tc>
          <w:tcPr>
            <w:tcW w:w="639" w:type="pct"/>
            <w:gridSpan w:val="2"/>
            <w:vAlign w:val="center"/>
          </w:tcPr>
          <w:p>
            <w:pPr>
              <w:pStyle w:val="17"/>
              <w:bidi w:val="0"/>
              <w:rPr>
                <w:rFonts w:hint="eastAsia"/>
                <w:color w:val="auto"/>
              </w:rPr>
            </w:pPr>
            <w:r>
              <w:rPr>
                <w:rFonts w:hint="eastAsia"/>
                <w:color w:val="auto"/>
              </w:rPr>
              <w:t>2</w:t>
            </w:r>
          </w:p>
        </w:tc>
        <w:tc>
          <w:tcPr>
            <w:tcW w:w="360" w:type="pct"/>
            <w:gridSpan w:val="2"/>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r>
              <w:rPr>
                <w:rFonts w:hint="eastAsia"/>
                <w:color w:val="aut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796" w:type="pct"/>
            <w:vMerge w:val="continue"/>
            <w:vAlign w:val="center"/>
          </w:tcPr>
          <w:p>
            <w:pPr>
              <w:pStyle w:val="17"/>
              <w:bidi w:val="0"/>
              <w:rPr>
                <w:rFonts w:hint="eastAsia"/>
                <w:color w:val="auto"/>
              </w:rPr>
            </w:pPr>
          </w:p>
        </w:tc>
        <w:tc>
          <w:tcPr>
            <w:tcW w:w="1220" w:type="pct"/>
            <w:vAlign w:val="center"/>
          </w:tcPr>
          <w:p>
            <w:pPr>
              <w:pStyle w:val="17"/>
              <w:bidi w:val="0"/>
              <w:rPr>
                <w:rFonts w:hint="eastAsia"/>
                <w:color w:val="auto"/>
              </w:rPr>
            </w:pPr>
            <w:r>
              <w:rPr>
                <w:rFonts w:hint="eastAsia"/>
                <w:color w:val="auto"/>
              </w:rPr>
              <w:t>采用模块化的建筑产品交付模式</w:t>
            </w:r>
          </w:p>
        </w:tc>
        <w:tc>
          <w:tcPr>
            <w:tcW w:w="680" w:type="pct"/>
            <w:vAlign w:val="center"/>
          </w:tcPr>
          <w:p>
            <w:pPr>
              <w:pStyle w:val="17"/>
              <w:bidi w:val="0"/>
              <w:rPr>
                <w:rFonts w:hint="eastAsia"/>
                <w:color w:val="auto"/>
              </w:rPr>
            </w:pPr>
            <w:r>
              <w:rPr>
                <w:rFonts w:hint="eastAsia"/>
                <w:color w:val="auto"/>
              </w:rPr>
              <w:t>—</w:t>
            </w:r>
          </w:p>
        </w:tc>
        <w:tc>
          <w:tcPr>
            <w:tcW w:w="639" w:type="pct"/>
            <w:gridSpan w:val="2"/>
            <w:vAlign w:val="center"/>
          </w:tcPr>
          <w:p>
            <w:pPr>
              <w:pStyle w:val="17"/>
              <w:bidi w:val="0"/>
              <w:rPr>
                <w:rFonts w:hint="eastAsia"/>
                <w:color w:val="auto"/>
              </w:rPr>
            </w:pPr>
            <w:r>
              <w:rPr>
                <w:rFonts w:hint="eastAsia"/>
                <w:color w:val="auto"/>
              </w:rPr>
              <w:t>3</w:t>
            </w:r>
          </w:p>
        </w:tc>
        <w:tc>
          <w:tcPr>
            <w:tcW w:w="360" w:type="pct"/>
            <w:gridSpan w:val="2"/>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2017" w:type="pct"/>
            <w:gridSpan w:val="2"/>
            <w:vAlign w:val="center"/>
          </w:tcPr>
          <w:p>
            <w:pPr>
              <w:pStyle w:val="17"/>
              <w:bidi w:val="0"/>
              <w:rPr>
                <w:rFonts w:hint="eastAsia"/>
                <w:color w:val="auto"/>
              </w:rPr>
            </w:pPr>
            <w:r>
              <w:rPr>
                <w:rFonts w:hint="eastAsia"/>
                <w:color w:val="auto"/>
              </w:rPr>
              <w:t>地下室部分采用装配式结构</w:t>
            </w:r>
          </w:p>
        </w:tc>
        <w:tc>
          <w:tcPr>
            <w:tcW w:w="680" w:type="pct"/>
            <w:vAlign w:val="center"/>
          </w:tcPr>
          <w:p>
            <w:pPr>
              <w:pStyle w:val="17"/>
              <w:bidi w:val="0"/>
              <w:rPr>
                <w:rFonts w:hint="eastAsia"/>
                <w:color w:val="auto"/>
              </w:rPr>
            </w:pPr>
            <w:r>
              <w:rPr>
                <w:rFonts w:hint="eastAsia"/>
                <w:color w:val="auto"/>
              </w:rPr>
              <w:t>比例≥50%</w:t>
            </w:r>
          </w:p>
        </w:tc>
        <w:tc>
          <w:tcPr>
            <w:tcW w:w="639" w:type="pct"/>
            <w:gridSpan w:val="2"/>
            <w:vAlign w:val="center"/>
          </w:tcPr>
          <w:p>
            <w:pPr>
              <w:pStyle w:val="17"/>
              <w:bidi w:val="0"/>
              <w:rPr>
                <w:rFonts w:hint="eastAsia"/>
                <w:color w:val="auto"/>
              </w:rPr>
            </w:pPr>
            <w:r>
              <w:rPr>
                <w:rFonts w:hint="eastAsia"/>
                <w:color w:val="auto"/>
              </w:rPr>
              <w:t>3</w:t>
            </w:r>
          </w:p>
        </w:tc>
        <w:tc>
          <w:tcPr>
            <w:tcW w:w="360" w:type="pct"/>
            <w:gridSpan w:val="2"/>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2017" w:type="pct"/>
            <w:gridSpan w:val="2"/>
            <w:vAlign w:val="center"/>
          </w:tcPr>
          <w:p>
            <w:pPr>
              <w:pStyle w:val="17"/>
              <w:bidi w:val="0"/>
              <w:rPr>
                <w:rFonts w:hint="eastAsia"/>
                <w:color w:val="auto"/>
              </w:rPr>
            </w:pPr>
            <w:r>
              <w:rPr>
                <w:rFonts w:hint="eastAsia"/>
                <w:color w:val="auto"/>
              </w:rPr>
              <w:t>采用具备供暖（制冷）功能的模块化保温部品</w:t>
            </w:r>
          </w:p>
        </w:tc>
        <w:tc>
          <w:tcPr>
            <w:tcW w:w="680" w:type="pct"/>
            <w:vAlign w:val="center"/>
          </w:tcPr>
          <w:p>
            <w:pPr>
              <w:pStyle w:val="17"/>
              <w:bidi w:val="0"/>
              <w:rPr>
                <w:rFonts w:hint="eastAsia"/>
                <w:color w:val="auto"/>
              </w:rPr>
            </w:pPr>
            <w:r>
              <w:rPr>
                <w:rFonts w:hint="eastAsia"/>
                <w:color w:val="auto"/>
              </w:rPr>
              <w:t>比例≥70%</w:t>
            </w:r>
          </w:p>
        </w:tc>
        <w:tc>
          <w:tcPr>
            <w:tcW w:w="639" w:type="pct"/>
            <w:gridSpan w:val="2"/>
            <w:vAlign w:val="center"/>
          </w:tcPr>
          <w:p>
            <w:pPr>
              <w:pStyle w:val="17"/>
              <w:bidi w:val="0"/>
              <w:rPr>
                <w:rFonts w:hint="eastAsia"/>
                <w:color w:val="auto"/>
              </w:rPr>
            </w:pPr>
            <w:r>
              <w:rPr>
                <w:rFonts w:hint="eastAsia"/>
                <w:color w:val="auto"/>
              </w:rPr>
              <w:t>2</w:t>
            </w:r>
          </w:p>
        </w:tc>
        <w:tc>
          <w:tcPr>
            <w:tcW w:w="360" w:type="pct"/>
            <w:gridSpan w:val="2"/>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2017" w:type="pct"/>
            <w:gridSpan w:val="2"/>
            <w:vAlign w:val="center"/>
          </w:tcPr>
          <w:p>
            <w:pPr>
              <w:pStyle w:val="17"/>
              <w:bidi w:val="0"/>
              <w:rPr>
                <w:rFonts w:hint="eastAsia"/>
                <w:color w:val="auto"/>
              </w:rPr>
            </w:pPr>
            <w:r>
              <w:rPr>
                <w:rFonts w:hint="eastAsia"/>
                <w:color w:val="auto"/>
              </w:rPr>
              <w:t>采用高品质绿色建造模式</w:t>
            </w:r>
          </w:p>
        </w:tc>
        <w:tc>
          <w:tcPr>
            <w:tcW w:w="680" w:type="pct"/>
            <w:vAlign w:val="center"/>
          </w:tcPr>
          <w:p>
            <w:pPr>
              <w:pStyle w:val="17"/>
              <w:bidi w:val="0"/>
              <w:rPr>
                <w:rFonts w:hint="eastAsia"/>
                <w:color w:val="auto"/>
              </w:rPr>
            </w:pPr>
            <w:r>
              <w:rPr>
                <w:rFonts w:hint="eastAsia"/>
                <w:color w:val="auto"/>
              </w:rPr>
              <w:t>—</w:t>
            </w:r>
          </w:p>
        </w:tc>
        <w:tc>
          <w:tcPr>
            <w:tcW w:w="639" w:type="pct"/>
            <w:gridSpan w:val="2"/>
            <w:vAlign w:val="center"/>
          </w:tcPr>
          <w:p>
            <w:pPr>
              <w:pStyle w:val="17"/>
              <w:bidi w:val="0"/>
              <w:rPr>
                <w:rFonts w:hint="eastAsia"/>
                <w:color w:val="auto"/>
              </w:rPr>
            </w:pPr>
            <w:r>
              <w:rPr>
                <w:rFonts w:hint="eastAsia"/>
                <w:color w:val="auto"/>
              </w:rPr>
              <w:t>2</w:t>
            </w:r>
          </w:p>
        </w:tc>
        <w:tc>
          <w:tcPr>
            <w:tcW w:w="360" w:type="pct"/>
            <w:gridSpan w:val="2"/>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pct"/>
          <w:trHeight w:val="23" w:hRule="atLeast"/>
        </w:trPr>
        <w:tc>
          <w:tcPr>
            <w:tcW w:w="498" w:type="pct"/>
            <w:vMerge w:val="continue"/>
            <w:vAlign w:val="center"/>
          </w:tcPr>
          <w:p>
            <w:pPr>
              <w:pStyle w:val="17"/>
              <w:bidi w:val="0"/>
              <w:rPr>
                <w:rFonts w:hint="eastAsia"/>
                <w:color w:val="auto"/>
              </w:rPr>
            </w:pPr>
          </w:p>
        </w:tc>
        <w:tc>
          <w:tcPr>
            <w:tcW w:w="2017" w:type="pct"/>
            <w:gridSpan w:val="2"/>
            <w:vAlign w:val="center"/>
          </w:tcPr>
          <w:p>
            <w:pPr>
              <w:pStyle w:val="17"/>
              <w:bidi w:val="0"/>
              <w:rPr>
                <w:rFonts w:hint="eastAsia"/>
                <w:color w:val="auto"/>
              </w:rPr>
            </w:pPr>
            <w:r>
              <w:rPr>
                <w:rFonts w:hint="eastAsia"/>
                <w:color w:val="auto"/>
              </w:rPr>
              <w:t>公共建筑机电系统集成</w:t>
            </w:r>
          </w:p>
        </w:tc>
        <w:tc>
          <w:tcPr>
            <w:tcW w:w="680" w:type="pct"/>
            <w:vAlign w:val="center"/>
          </w:tcPr>
          <w:p>
            <w:pPr>
              <w:pStyle w:val="17"/>
              <w:bidi w:val="0"/>
              <w:rPr>
                <w:rFonts w:hint="eastAsia"/>
                <w:color w:val="auto"/>
              </w:rPr>
            </w:pPr>
            <w:r>
              <w:rPr>
                <w:rFonts w:hint="eastAsia"/>
                <w:color w:val="auto"/>
              </w:rPr>
              <w:t>—</w:t>
            </w:r>
          </w:p>
        </w:tc>
        <w:tc>
          <w:tcPr>
            <w:tcW w:w="639" w:type="pct"/>
            <w:gridSpan w:val="2"/>
            <w:vAlign w:val="center"/>
          </w:tcPr>
          <w:p>
            <w:pPr>
              <w:pStyle w:val="17"/>
              <w:bidi w:val="0"/>
              <w:rPr>
                <w:rFonts w:hint="eastAsia"/>
                <w:color w:val="auto"/>
              </w:rPr>
            </w:pPr>
            <w:r>
              <w:rPr>
                <w:rFonts w:hint="eastAsia"/>
                <w:color w:val="auto"/>
              </w:rPr>
              <w:t>2</w:t>
            </w:r>
          </w:p>
        </w:tc>
        <w:tc>
          <w:tcPr>
            <w:tcW w:w="360" w:type="pct"/>
            <w:gridSpan w:val="2"/>
            <w:vAlign w:val="center"/>
          </w:tcPr>
          <w:p>
            <w:pPr>
              <w:pStyle w:val="17"/>
              <w:bidi w:val="0"/>
              <w:rPr>
                <w:rFonts w:hint="eastAsia"/>
                <w:color w:val="auto"/>
              </w:rPr>
            </w:pPr>
          </w:p>
        </w:tc>
        <w:tc>
          <w:tcPr>
            <w:tcW w:w="463" w:type="pct"/>
            <w:gridSpan w:val="2"/>
            <w:vAlign w:val="center"/>
          </w:tcPr>
          <w:p>
            <w:pPr>
              <w:pStyle w:val="17"/>
              <w:bidi w:val="0"/>
              <w:rPr>
                <w:rFonts w:hint="eastAsia"/>
                <w:color w:val="auto"/>
              </w:rPr>
            </w:pPr>
          </w:p>
        </w:tc>
        <w:tc>
          <w:tcPr>
            <w:tcW w:w="335" w:type="pct"/>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498" w:type="pct"/>
            <w:vAlign w:val="center"/>
          </w:tcPr>
          <w:p>
            <w:pPr>
              <w:pStyle w:val="17"/>
              <w:bidi w:val="0"/>
              <w:rPr>
                <w:rFonts w:hint="eastAsia"/>
                <w:color w:val="auto"/>
              </w:rPr>
            </w:pPr>
          </w:p>
        </w:tc>
        <w:tc>
          <w:tcPr>
            <w:tcW w:w="2017" w:type="pct"/>
            <w:gridSpan w:val="2"/>
            <w:vAlign w:val="center"/>
          </w:tcPr>
          <w:p>
            <w:pPr>
              <w:pStyle w:val="17"/>
              <w:bidi w:val="0"/>
              <w:rPr>
                <w:rFonts w:hint="eastAsia"/>
                <w:color w:val="auto"/>
              </w:rPr>
            </w:pPr>
            <w:r>
              <w:rPr>
                <w:rFonts w:hint="eastAsia"/>
                <w:color w:val="auto"/>
              </w:rPr>
              <w:t>创新技术项应用</w:t>
            </w:r>
          </w:p>
        </w:tc>
        <w:tc>
          <w:tcPr>
            <w:tcW w:w="686" w:type="pct"/>
            <w:gridSpan w:val="2"/>
            <w:vAlign w:val="center"/>
          </w:tcPr>
          <w:p>
            <w:pPr>
              <w:pStyle w:val="17"/>
              <w:bidi w:val="0"/>
              <w:rPr>
                <w:rFonts w:hint="eastAsia"/>
                <w:color w:val="auto"/>
              </w:rPr>
            </w:pPr>
            <w:r>
              <w:rPr>
                <w:rFonts w:hint="eastAsia"/>
                <w:color w:val="auto"/>
              </w:rPr>
              <w:t>—</w:t>
            </w:r>
          </w:p>
        </w:tc>
        <w:tc>
          <w:tcPr>
            <w:tcW w:w="647" w:type="pct"/>
            <w:gridSpan w:val="2"/>
            <w:vAlign w:val="center"/>
          </w:tcPr>
          <w:p>
            <w:pPr>
              <w:pStyle w:val="17"/>
              <w:bidi w:val="0"/>
              <w:rPr>
                <w:rFonts w:hint="eastAsia"/>
                <w:color w:val="auto"/>
              </w:rPr>
            </w:pPr>
            <w:r>
              <w:rPr>
                <w:rFonts w:hint="eastAsia"/>
                <w:color w:val="auto"/>
              </w:rPr>
              <w:t>2</w:t>
            </w:r>
          </w:p>
        </w:tc>
        <w:tc>
          <w:tcPr>
            <w:tcW w:w="349" w:type="pct"/>
            <w:gridSpan w:val="2"/>
            <w:vAlign w:val="center"/>
          </w:tcPr>
          <w:p>
            <w:pPr>
              <w:pStyle w:val="17"/>
              <w:bidi w:val="0"/>
              <w:rPr>
                <w:rFonts w:hint="eastAsia"/>
                <w:color w:val="auto"/>
              </w:rPr>
            </w:pPr>
          </w:p>
        </w:tc>
        <w:tc>
          <w:tcPr>
            <w:tcW w:w="459" w:type="pct"/>
            <w:vAlign w:val="center"/>
          </w:tcPr>
          <w:p>
            <w:pPr>
              <w:pStyle w:val="17"/>
              <w:bidi w:val="0"/>
              <w:rPr>
                <w:rFonts w:hint="eastAsia"/>
                <w:color w:val="auto"/>
              </w:rPr>
            </w:pPr>
          </w:p>
        </w:tc>
        <w:tc>
          <w:tcPr>
            <w:tcW w:w="340" w:type="pct"/>
            <w:gridSpan w:val="2"/>
            <w:vAlign w:val="center"/>
          </w:tcPr>
          <w:p>
            <w:pPr>
              <w:pStyle w:val="17"/>
              <w:bidi w:val="0"/>
              <w:rPr>
                <w:rFonts w:hint="eastAsia"/>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850" w:type="pct"/>
            <w:gridSpan w:val="7"/>
            <w:vAlign w:val="center"/>
          </w:tcPr>
          <w:p>
            <w:pPr>
              <w:pStyle w:val="17"/>
              <w:bidi w:val="0"/>
              <w:rPr>
                <w:rFonts w:hint="eastAsia"/>
                <w:color w:val="auto"/>
              </w:rPr>
            </w:pPr>
            <w:r>
              <w:rPr>
                <w:rFonts w:hint="eastAsia"/>
                <w:color w:val="auto"/>
              </w:rPr>
              <w:t>缺分项Q63分母总分97</w:t>
            </w:r>
          </w:p>
        </w:tc>
        <w:tc>
          <w:tcPr>
            <w:tcW w:w="349" w:type="pct"/>
            <w:gridSpan w:val="2"/>
            <w:vAlign w:val="center"/>
          </w:tcPr>
          <w:p>
            <w:pPr>
              <w:pStyle w:val="17"/>
              <w:bidi w:val="0"/>
              <w:rPr>
                <w:rFonts w:hint="eastAsia"/>
                <w:color w:val="auto"/>
              </w:rPr>
            </w:pPr>
          </w:p>
        </w:tc>
        <w:tc>
          <w:tcPr>
            <w:tcW w:w="459" w:type="pct"/>
            <w:vAlign w:val="center"/>
          </w:tcPr>
          <w:p>
            <w:pPr>
              <w:pStyle w:val="17"/>
              <w:bidi w:val="0"/>
              <w:rPr>
                <w:rFonts w:hint="eastAsia"/>
                <w:color w:val="auto"/>
              </w:rPr>
            </w:pPr>
            <w:r>
              <w:rPr>
                <w:rFonts w:hint="eastAsia"/>
                <w:color w:val="auto"/>
              </w:rPr>
              <w:t>总得分（分子）</w:t>
            </w:r>
          </w:p>
        </w:tc>
        <w:tc>
          <w:tcPr>
            <w:tcW w:w="340" w:type="pct"/>
            <w:gridSpan w:val="2"/>
            <w:vAlign w:val="center"/>
          </w:tcPr>
          <w:p>
            <w:pPr>
              <w:pStyle w:val="17"/>
              <w:bidi w:val="0"/>
              <w:rPr>
                <w:rFonts w:hint="eastAsia"/>
                <w:color w:val="auto"/>
              </w:rPr>
            </w:pPr>
            <w:r>
              <w:rPr>
                <w:rFonts w:hint="eastAsia"/>
                <w:color w:val="auto"/>
              </w:rPr>
              <w:t>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3850" w:type="pct"/>
            <w:gridSpan w:val="7"/>
            <w:vAlign w:val="center"/>
          </w:tcPr>
          <w:p>
            <w:pPr>
              <w:pStyle w:val="17"/>
              <w:bidi w:val="0"/>
              <w:rPr>
                <w:rFonts w:hint="eastAsia"/>
                <w:color w:val="auto"/>
              </w:rPr>
            </w:pPr>
            <w:r>
              <w:rPr>
                <w:rFonts w:hint="eastAsia"/>
                <w:color w:val="auto"/>
              </w:rPr>
              <w:t>装配率计算</w:t>
            </w:r>
          </w:p>
        </w:tc>
        <w:tc>
          <w:tcPr>
            <w:tcW w:w="349" w:type="pct"/>
            <w:gridSpan w:val="2"/>
            <w:vAlign w:val="center"/>
          </w:tcPr>
          <w:p>
            <w:pPr>
              <w:pStyle w:val="17"/>
              <w:bidi w:val="0"/>
              <w:rPr>
                <w:rFonts w:hint="eastAsia"/>
                <w:color w:val="auto"/>
              </w:rPr>
            </w:pPr>
          </w:p>
        </w:tc>
        <w:tc>
          <w:tcPr>
            <w:tcW w:w="459" w:type="pct"/>
            <w:vAlign w:val="center"/>
          </w:tcPr>
          <w:p>
            <w:pPr>
              <w:pStyle w:val="17"/>
              <w:bidi w:val="0"/>
              <w:rPr>
                <w:rFonts w:hint="eastAsia"/>
                <w:color w:val="auto"/>
              </w:rPr>
            </w:pPr>
          </w:p>
        </w:tc>
        <w:tc>
          <w:tcPr>
            <w:tcW w:w="340" w:type="pct"/>
            <w:gridSpan w:val="2"/>
            <w:vAlign w:val="center"/>
          </w:tcPr>
          <w:p>
            <w:pPr>
              <w:pStyle w:val="17"/>
              <w:bidi w:val="0"/>
              <w:rPr>
                <w:rFonts w:hint="eastAsia"/>
                <w:color w:val="auto"/>
              </w:rPr>
            </w:pPr>
            <w:r>
              <w:rPr>
                <w:rFonts w:hint="eastAsia"/>
                <w:color w:val="auto"/>
              </w:rPr>
              <w:t>51%</w:t>
            </w:r>
          </w:p>
        </w:tc>
      </w:tr>
    </w:tbl>
    <w:p>
      <w:pPr>
        <w:bidi w:val="0"/>
        <w:rPr>
          <w:rFonts w:hint="eastAsia"/>
          <w:color w:val="auto"/>
          <w:lang w:val="en-US" w:eastAsia="zh-CN"/>
        </w:rPr>
      </w:pPr>
      <w:bookmarkStart w:id="35" w:name="_Toc16027"/>
      <w:bookmarkStart w:id="36" w:name="_Toc26087"/>
      <w:r>
        <w:rPr>
          <w:rFonts w:hint="eastAsia"/>
          <w:color w:val="auto"/>
          <w:lang w:val="en-US" w:eastAsia="zh-CN"/>
        </w:rPr>
        <w:t>备注：1）按单体建筑填写，相同楼栋可一并表达）；</w:t>
      </w:r>
    </w:p>
    <w:p>
      <w:pPr>
        <w:bidi w:val="0"/>
        <w:rPr>
          <w:rFonts w:hint="eastAsia"/>
          <w:color w:val="auto"/>
          <w:lang w:val="en-US" w:eastAsia="zh-CN"/>
        </w:rPr>
      </w:pPr>
      <w:r>
        <w:rPr>
          <w:rFonts w:hint="eastAsia"/>
          <w:color w:val="auto"/>
          <w:lang w:val="en-US" w:eastAsia="zh-CN"/>
        </w:rPr>
        <w:t>2）得分保留到小数点后一位；装配率结论按四舍五入法取整。</w:t>
      </w:r>
    </w:p>
    <w:p>
      <w:pPr>
        <w:bidi w:val="0"/>
        <w:rPr>
          <w:rFonts w:hint="eastAsia"/>
          <w:color w:val="auto"/>
          <w:lang w:val="en-US" w:eastAsia="zh-CN"/>
        </w:rPr>
      </w:pPr>
      <w:r>
        <w:rPr>
          <w:rFonts w:hint="eastAsia"/>
          <w:color w:val="auto"/>
          <w:lang w:val="en-US" w:eastAsia="zh-CN"/>
        </w:rPr>
        <w:t>采用上述技术配置项，经计算，本项目办公楼装配率为51%，大于标准要求的50%，依据湖南省最新装配式建筑评价标准DBJ43/T542-2022：本项目满足装配率的指标要求。</w:t>
      </w:r>
    </w:p>
    <w:p>
      <w:pPr>
        <w:pStyle w:val="3"/>
        <w:bidi w:val="0"/>
        <w:rPr>
          <w:rFonts w:hint="eastAsia"/>
          <w:color w:val="auto"/>
          <w:lang w:val="en-US" w:eastAsia="zh-CN"/>
        </w:rPr>
      </w:pPr>
      <w:r>
        <w:rPr>
          <w:rFonts w:hint="eastAsia"/>
          <w:color w:val="auto"/>
          <w:lang w:val="en-US" w:eastAsia="zh-CN"/>
        </w:rPr>
        <w:t>工艺设计</w:t>
      </w:r>
      <w:bookmarkEnd w:id="35"/>
      <w:bookmarkEnd w:id="36"/>
    </w:p>
    <w:p>
      <w:pPr>
        <w:bidi w:val="0"/>
        <w:rPr>
          <w:rFonts w:hint="eastAsia"/>
          <w:color w:val="auto"/>
          <w:lang w:val="en-US" w:eastAsia="zh-CN"/>
        </w:rPr>
      </w:pPr>
      <w:r>
        <w:rPr>
          <w:rFonts w:hint="eastAsia"/>
          <w:color w:val="auto"/>
          <w:lang w:val="en-US" w:eastAsia="zh-CN"/>
        </w:rPr>
        <w:t>产业化建造技术是在欧美比较成熟的轻钢装配化多层公共建筑的基础上升级换代而成，同时它也是非现场施工的建筑体系。该技术核心涉及37项国际专利，具体体现在以下七个方面：</w:t>
      </w:r>
    </w:p>
    <w:p>
      <w:pPr>
        <w:bidi w:val="0"/>
        <w:rPr>
          <w:rFonts w:hint="eastAsia"/>
          <w:color w:val="auto"/>
          <w:lang w:val="en-US" w:eastAsia="zh-CN"/>
        </w:rPr>
      </w:pPr>
      <w:r>
        <w:rPr>
          <w:rFonts w:hint="eastAsia"/>
          <w:color w:val="auto"/>
          <w:lang w:val="en-US" w:eastAsia="zh-CN"/>
        </w:rPr>
        <w:t>1）产业化建筑体系楼板楼盖结构技术；</w:t>
      </w:r>
    </w:p>
    <w:p>
      <w:pPr>
        <w:bidi w:val="0"/>
        <w:rPr>
          <w:rFonts w:hint="eastAsia"/>
          <w:color w:val="auto"/>
          <w:lang w:val="en-US" w:eastAsia="zh-CN"/>
        </w:rPr>
      </w:pPr>
      <w:r>
        <w:rPr>
          <w:rFonts w:hint="eastAsia"/>
          <w:color w:val="auto"/>
          <w:lang w:val="en-US" w:eastAsia="zh-CN"/>
        </w:rPr>
        <w:t>2)产业化建筑体系的建筑防火技术；</w:t>
      </w:r>
    </w:p>
    <w:p>
      <w:pPr>
        <w:bidi w:val="0"/>
        <w:rPr>
          <w:rFonts w:hint="eastAsia"/>
          <w:color w:val="auto"/>
          <w:lang w:val="en-US" w:eastAsia="zh-CN"/>
        </w:rPr>
      </w:pPr>
      <w:r>
        <w:rPr>
          <w:rFonts w:hint="eastAsia"/>
          <w:color w:val="auto"/>
          <w:lang w:val="en-US" w:eastAsia="zh-CN"/>
        </w:rPr>
        <w:t>3)产业化建筑体系的建筑楼板和墙体隔音技术；</w:t>
      </w:r>
    </w:p>
    <w:p>
      <w:pPr>
        <w:bidi w:val="0"/>
        <w:rPr>
          <w:rFonts w:hint="eastAsia"/>
          <w:color w:val="auto"/>
          <w:lang w:val="en-US" w:eastAsia="zh-CN"/>
        </w:rPr>
      </w:pPr>
      <w:r>
        <w:rPr>
          <w:rFonts w:hint="eastAsia"/>
          <w:color w:val="auto"/>
          <w:lang w:val="en-US" w:eastAsia="zh-CN"/>
        </w:rPr>
        <w:t>4)产业化建筑体系的模块单元生产和组装技术</w:t>
      </w:r>
    </w:p>
    <w:p>
      <w:pPr>
        <w:bidi w:val="0"/>
        <w:rPr>
          <w:rFonts w:hint="eastAsia"/>
          <w:color w:val="auto"/>
          <w:lang w:val="en-US" w:eastAsia="zh-CN"/>
        </w:rPr>
      </w:pPr>
      <w:r>
        <w:rPr>
          <w:rFonts w:hint="eastAsia"/>
          <w:color w:val="auto"/>
          <w:lang w:val="en-US" w:eastAsia="zh-CN"/>
        </w:rPr>
        <w:t>5)产业化建筑体系的生产控制程序和流程；</w:t>
      </w:r>
    </w:p>
    <w:p>
      <w:pPr>
        <w:bidi w:val="0"/>
        <w:rPr>
          <w:rFonts w:hint="eastAsia"/>
          <w:color w:val="auto"/>
          <w:lang w:val="en-US" w:eastAsia="zh-CN"/>
        </w:rPr>
      </w:pPr>
      <w:r>
        <w:rPr>
          <w:rFonts w:hint="eastAsia"/>
          <w:color w:val="auto"/>
          <w:lang w:val="en-US" w:eastAsia="zh-CN"/>
        </w:rPr>
        <w:t>6)产业化建筑体系的现场安装体系；</w:t>
      </w:r>
    </w:p>
    <w:p>
      <w:pPr>
        <w:bidi w:val="0"/>
        <w:rPr>
          <w:rFonts w:hint="eastAsia"/>
          <w:color w:val="auto"/>
          <w:lang w:val="en-US" w:eastAsia="zh-CN"/>
        </w:rPr>
      </w:pPr>
      <w:r>
        <w:rPr>
          <w:rFonts w:hint="eastAsia"/>
          <w:color w:val="auto"/>
          <w:lang w:val="en-US" w:eastAsia="zh-CN"/>
        </w:rPr>
        <w:t>7)产业化建筑体系中基础与模块连接技术；</w:t>
      </w:r>
    </w:p>
    <w:p>
      <w:pPr>
        <w:bidi w:val="0"/>
        <w:rPr>
          <w:rFonts w:hint="eastAsia"/>
          <w:color w:val="auto"/>
          <w:lang w:val="en-US" w:eastAsia="zh-CN"/>
        </w:rPr>
      </w:pPr>
      <w:r>
        <w:rPr>
          <w:rFonts w:hint="eastAsia"/>
          <w:color w:val="auto"/>
          <w:lang w:val="en-US" w:eastAsia="zh-CN"/>
        </w:rPr>
        <w:t>建筑工艺设计就是把建筑物看作一台精密的机械设备，运用机械设计的思维把建筑物拆分成一块块的墙、楼板、梁、楼梯等，再以机械加工的公差要求来制作墙、楼板、梁、楼梯，最后在现场将各个构件按次序、按配合精度装配好，并通过局部现浇来连接各个构件。</w:t>
      </w:r>
    </w:p>
    <w:p>
      <w:pPr>
        <w:bidi w:val="0"/>
        <w:rPr>
          <w:rFonts w:hint="eastAsia"/>
          <w:color w:val="auto"/>
          <w:lang w:val="en-US" w:eastAsia="zh-CN"/>
        </w:rPr>
      </w:pPr>
      <w:r>
        <w:rPr>
          <w:rFonts w:hint="eastAsia"/>
          <w:color w:val="auto"/>
          <w:lang w:val="en-US" w:eastAsia="zh-CN"/>
        </w:rPr>
        <w:t>首先由工艺工程师依据工程项目的设计图纸进行构件拆分，拆分过程中重点考虑构件连接构造、水电管线预埋、门窗、吊装件的预埋及施工必须的预埋件、预留孔洞等，按照建筑结构特点和预制构件生产工艺的要求，将原传统意义上现浇剪力墙结构拆分为叠合梁、叠合板等部分，同时考虑方便模具加工和构件生产效率，现场施工吊运能力限制等因素。根据结构要求和吊装能力设计拆分位置，满足各个构件的起吊和安装。</w:t>
      </w:r>
    </w:p>
    <w:p>
      <w:pPr>
        <w:bidi w:val="0"/>
        <w:rPr>
          <w:rFonts w:hint="eastAsia"/>
          <w:color w:val="auto"/>
          <w:lang w:val="en-US" w:eastAsia="zh-CN"/>
        </w:rPr>
      </w:pPr>
      <w:r>
        <w:rPr>
          <w:rFonts w:hint="eastAsia"/>
          <w:color w:val="auto"/>
          <w:lang w:val="en-US" w:eastAsia="zh-CN"/>
        </w:rPr>
        <w:t>预制构件拆分原则：1、不违反现有国家设计、施工、验收规范；</w:t>
      </w:r>
    </w:p>
    <w:p>
      <w:pPr>
        <w:bidi w:val="0"/>
        <w:rPr>
          <w:rFonts w:hint="eastAsia"/>
          <w:color w:val="auto"/>
          <w:lang w:val="en-US" w:eastAsia="zh-CN"/>
        </w:rPr>
      </w:pPr>
      <w:r>
        <w:rPr>
          <w:rFonts w:hint="eastAsia"/>
          <w:color w:val="auto"/>
          <w:lang w:val="en-US" w:eastAsia="zh-CN"/>
        </w:rPr>
        <w:t>2、保证采用其结构性能不低于现浇结构；</w:t>
      </w:r>
    </w:p>
    <w:p>
      <w:pPr>
        <w:bidi w:val="0"/>
        <w:rPr>
          <w:rFonts w:hint="eastAsia"/>
          <w:color w:val="auto"/>
          <w:lang w:val="en-US" w:eastAsia="zh-CN"/>
        </w:rPr>
      </w:pPr>
      <w:r>
        <w:rPr>
          <w:rFonts w:hint="eastAsia"/>
          <w:color w:val="auto"/>
          <w:lang w:val="en-US" w:eastAsia="zh-CN"/>
        </w:rPr>
        <w:t>3、不改变原设计图的建筑及结构尺寸；</w:t>
      </w:r>
    </w:p>
    <w:p>
      <w:pPr>
        <w:bidi w:val="0"/>
        <w:rPr>
          <w:rFonts w:hint="eastAsia"/>
          <w:color w:val="auto"/>
          <w:lang w:val="en-US" w:eastAsia="zh-CN"/>
        </w:rPr>
      </w:pPr>
      <w:r>
        <w:rPr>
          <w:rFonts w:hint="eastAsia"/>
          <w:color w:val="auto"/>
          <w:lang w:val="en-US" w:eastAsia="zh-CN"/>
        </w:rPr>
        <w:t>4、预制构件要有利于生产与施工的尺寸、重量、公差、安全保护措施。</w:t>
      </w:r>
    </w:p>
    <w:p>
      <w:pPr>
        <w:bidi w:val="0"/>
        <w:rPr>
          <w:rFonts w:hint="eastAsia"/>
          <w:color w:val="auto"/>
          <w:lang w:val="en-US" w:eastAsia="zh-CN"/>
        </w:rPr>
      </w:pPr>
      <w:r>
        <w:rPr>
          <w:rFonts w:hint="eastAsia"/>
          <w:color w:val="auto"/>
          <w:lang w:val="en-US" w:eastAsia="zh-CN"/>
        </w:rPr>
        <w:t>主要构件类型</w:t>
      </w:r>
    </w:p>
    <w:p>
      <w:pPr>
        <w:pStyle w:val="17"/>
        <w:bidi w:val="0"/>
        <w:rPr>
          <w:rFonts w:hint="default" w:ascii="Calibri" w:hAnsi="Calibri" w:eastAsia="仿宋" w:cs="Times New Roman"/>
          <w:color w:val="auto"/>
          <w:sz w:val="28"/>
          <w:szCs w:val="24"/>
          <w:lang w:val="en-US" w:eastAsia="zh-CN"/>
        </w:rPr>
      </w:pPr>
      <w:r>
        <w:rPr>
          <w:rFonts w:hint="eastAsia" w:ascii="Calibri" w:hAnsi="Calibri" w:eastAsia="仿宋" w:cs="Times New Roman"/>
          <w:color w:val="auto"/>
          <w:sz w:val="28"/>
          <w:szCs w:val="24"/>
          <w:lang w:val="en-US" w:eastAsia="zh-CN"/>
        </w:rPr>
        <w:drawing>
          <wp:inline distT="0" distB="0" distL="114300" distR="114300">
            <wp:extent cx="2743200" cy="1697990"/>
            <wp:effectExtent l="0" t="0" r="0" b="16510"/>
            <wp:docPr id="2" name="图片 2" descr="16498327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49832752(1)"/>
                    <pic:cNvPicPr>
                      <a:picLocks noChangeAspect="1"/>
                    </pic:cNvPicPr>
                  </pic:nvPicPr>
                  <pic:blipFill>
                    <a:blip r:embed="rId10"/>
                    <a:stretch>
                      <a:fillRect/>
                    </a:stretch>
                  </pic:blipFill>
                  <pic:spPr>
                    <a:xfrm>
                      <a:off x="0" y="0"/>
                      <a:ext cx="2743200" cy="1697990"/>
                    </a:xfrm>
                    <a:prstGeom prst="rect">
                      <a:avLst/>
                    </a:prstGeom>
                  </pic:spPr>
                </pic:pic>
              </a:graphicData>
            </a:graphic>
          </wp:inline>
        </w:drawing>
      </w:r>
      <w:r>
        <w:rPr>
          <w:rFonts w:hint="default" w:ascii="Calibri" w:hAnsi="Calibri" w:eastAsia="仿宋" w:cs="Times New Roman"/>
          <w:color w:val="auto"/>
          <w:sz w:val="28"/>
          <w:szCs w:val="24"/>
          <w:lang w:val="en-US" w:eastAsia="zh-CN"/>
        </w:rPr>
        <w:drawing>
          <wp:inline distT="0" distB="0" distL="114300" distR="114300">
            <wp:extent cx="2199005" cy="1750695"/>
            <wp:effectExtent l="0" t="0" r="10795" b="1905"/>
            <wp:docPr id="4" name="图片 4" descr="16498327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49832780(1)"/>
                    <pic:cNvPicPr>
                      <a:picLocks noChangeAspect="1"/>
                    </pic:cNvPicPr>
                  </pic:nvPicPr>
                  <pic:blipFill>
                    <a:blip r:embed="rId11"/>
                    <a:stretch>
                      <a:fillRect/>
                    </a:stretch>
                  </pic:blipFill>
                  <pic:spPr>
                    <a:xfrm>
                      <a:off x="0" y="0"/>
                      <a:ext cx="2199005" cy="1750695"/>
                    </a:xfrm>
                    <a:prstGeom prst="rect">
                      <a:avLst/>
                    </a:prstGeom>
                  </pic:spPr>
                </pic:pic>
              </a:graphicData>
            </a:graphic>
          </wp:inline>
        </w:drawing>
      </w:r>
    </w:p>
    <w:p>
      <w:pPr>
        <w:pStyle w:val="17"/>
        <w:bidi w:val="0"/>
        <w:rPr>
          <w:rFonts w:hint="default"/>
          <w:color w:val="auto"/>
          <w:lang w:val="en-US" w:eastAsia="zh-CN"/>
        </w:rPr>
      </w:pPr>
      <w:r>
        <w:rPr>
          <w:rFonts w:hint="eastAsia"/>
          <w:color w:val="auto"/>
          <w:lang w:val="en-US" w:eastAsia="zh-CN"/>
        </w:rPr>
        <w:t>预制叠合梁预制叠合板</w:t>
      </w:r>
    </w:p>
    <w:p>
      <w:pPr>
        <w:bidi w:val="0"/>
        <w:rPr>
          <w:rFonts w:hint="default"/>
          <w:color w:val="auto"/>
          <w:lang w:val="en-US" w:eastAsia="zh-CN"/>
        </w:rPr>
      </w:pPr>
      <w:r>
        <w:rPr>
          <w:rFonts w:hint="default"/>
          <w:color w:val="auto"/>
          <w:lang w:val="en-US" w:eastAsia="zh-CN"/>
        </w:rPr>
        <w:t>叠合楼板：是由预制板和现浇钢筋混凝土层叠合而成的装配整体式楼板。预制板既是楼板结构的组成部分之一，又是现浇钢筋混凝土叠合层的永久性模板，现浇叠合层内可敷设水平设备管线。叠合楼板整体性好，风度大，可节省模板，而且板的上下表面平整，便于饰面层装修，适用于对整体刚度要求较高的多层建筑和大开间建筑。</w:t>
      </w:r>
    </w:p>
    <w:p>
      <w:pPr>
        <w:bidi w:val="0"/>
        <w:rPr>
          <w:rFonts w:hint="default"/>
          <w:color w:val="auto"/>
          <w:lang w:val="en-US" w:eastAsia="zh-CN"/>
        </w:rPr>
      </w:pPr>
      <w:r>
        <w:rPr>
          <w:rFonts w:hint="default"/>
          <w:color w:val="auto"/>
          <w:lang w:val="en-US" w:eastAsia="zh-CN"/>
        </w:rPr>
        <w:t>叠合梁：分两次浇捣混凝土的梁，一部分在工厂做成预制梁，在施工现场将预制梁吊装安放完成后，再浇捣上部的混凝土使其连成整体。</w:t>
      </w:r>
    </w:p>
    <w:p>
      <w:pPr>
        <w:bidi w:val="0"/>
        <w:rPr>
          <w:rFonts w:hint="default"/>
          <w:color w:val="auto"/>
          <w:lang w:val="en-US" w:eastAsia="zh-CN"/>
        </w:rPr>
      </w:pPr>
      <w:r>
        <w:rPr>
          <w:rFonts w:hint="default"/>
          <w:color w:val="auto"/>
          <w:lang w:val="en-US" w:eastAsia="zh-CN"/>
        </w:rPr>
        <w:t>设计流程：</w:t>
      </w:r>
    </w:p>
    <w:p>
      <w:pPr>
        <w:bidi w:val="0"/>
        <w:rPr>
          <w:rFonts w:hint="default"/>
          <w:color w:val="auto"/>
          <w:lang w:val="en-US" w:eastAsia="zh-CN"/>
        </w:rPr>
      </w:pPr>
      <w:r>
        <w:rPr>
          <w:rFonts w:hint="default"/>
          <w:color w:val="auto"/>
          <w:lang w:val="en-US" w:eastAsia="zh-CN"/>
        </w:rPr>
        <w:t>整幢楼→工艺拆分预制件→预制件详图→图纸下发工厂→工厂生产运输→现场拼装→主体施工完成</w:t>
      </w:r>
    </w:p>
    <w:p>
      <w:pPr>
        <w:pStyle w:val="3"/>
        <w:bidi w:val="0"/>
        <w:rPr>
          <w:color w:val="auto"/>
          <w:lang w:val="en-US" w:eastAsia="zh-CN"/>
        </w:rPr>
      </w:pPr>
      <w:bookmarkStart w:id="37" w:name="_Toc20317"/>
      <w:bookmarkStart w:id="38" w:name="_Toc22145"/>
      <w:r>
        <w:rPr>
          <w:rFonts w:hint="eastAsia"/>
          <w:color w:val="auto"/>
          <w:lang w:val="en-US" w:eastAsia="zh-CN"/>
        </w:rPr>
        <w:t>生产工艺</w:t>
      </w:r>
      <w:bookmarkEnd w:id="37"/>
      <w:bookmarkEnd w:id="38"/>
    </w:p>
    <w:p>
      <w:pPr>
        <w:bidi w:val="0"/>
        <w:rPr>
          <w:color w:val="auto"/>
        </w:rPr>
      </w:pPr>
      <w:r>
        <w:rPr>
          <w:rFonts w:hint="eastAsia"/>
          <w:color w:val="auto"/>
          <w:lang w:val="en-US" w:eastAsia="zh-CN"/>
        </w:rPr>
        <w:t>1.预制件产品质量要求高，外观美观，尺寸误差小；在生产时采用钢台车和钢模具生产，钢台车具有足够的承载力、刚度和稳定性，表面光滑平整；模具选用钢材制造具有足够的刚度稳定性和平整度，确保模具安装稳固牢靠；</w:t>
      </w:r>
    </w:p>
    <w:p>
      <w:pPr>
        <w:bidi w:val="0"/>
        <w:rPr>
          <w:color w:val="auto"/>
        </w:rPr>
      </w:pPr>
      <w:r>
        <w:rPr>
          <w:rFonts w:hint="eastAsia"/>
          <w:color w:val="auto"/>
          <w:lang w:val="en-US" w:eastAsia="zh-CN"/>
        </w:rPr>
        <w:t>2.模具的设计应满足合理的拆模工艺，并便于锚筋能直接伸出，以保证预制件边缘构造符合质量标准，模具尺寸允许偏差参照《模具尺寸的允许偏差和检验方法》；</w:t>
      </w:r>
    </w:p>
    <w:p>
      <w:pPr>
        <w:bidi w:val="0"/>
        <w:rPr>
          <w:rFonts w:hint="eastAsia"/>
          <w:color w:val="auto"/>
          <w:lang w:val="en-US" w:eastAsia="zh-CN"/>
        </w:rPr>
      </w:pPr>
      <w:r>
        <w:rPr>
          <w:rFonts w:hint="eastAsia"/>
          <w:color w:val="auto"/>
          <w:lang w:val="en-US" w:eastAsia="zh-CN"/>
        </w:rPr>
        <w:t>3.采用流水线方式生产，生产效率大幅度提高、材料利用率高、损耗小、质量可控；</w:t>
      </w:r>
    </w:p>
    <w:p>
      <w:pPr>
        <w:pStyle w:val="2"/>
        <w:bidi w:val="0"/>
        <w:rPr>
          <w:rFonts w:hint="default"/>
          <w:color w:val="auto"/>
          <w:lang w:val="en-US" w:eastAsia="zh-CN"/>
        </w:rPr>
      </w:pPr>
      <w:r>
        <w:rPr>
          <w:rFonts w:hint="default"/>
          <w:color w:val="auto"/>
          <w:lang w:val="en-US" w:eastAsia="zh-CN"/>
        </w:rPr>
        <w:br w:type="column"/>
      </w:r>
      <w:r>
        <w:rPr>
          <w:rFonts w:hint="eastAsia"/>
          <w:color w:val="auto"/>
          <w:lang w:val="en-US" w:eastAsia="zh-CN"/>
        </w:rPr>
        <w:t>景观设计说明</w:t>
      </w:r>
    </w:p>
    <w:p>
      <w:pPr>
        <w:pStyle w:val="3"/>
        <w:bidi w:val="0"/>
        <w:rPr>
          <w:rFonts w:hint="eastAsia"/>
          <w:color w:val="auto"/>
          <w:lang w:val="en-US" w:eastAsia="zh-CN"/>
        </w:rPr>
      </w:pPr>
      <w:r>
        <w:rPr>
          <w:rFonts w:hint="eastAsia"/>
          <w:color w:val="auto"/>
          <w:lang w:val="en-US" w:eastAsia="zh-CN"/>
        </w:rPr>
        <w:t>设计依据</w:t>
      </w:r>
    </w:p>
    <w:p>
      <w:pPr>
        <w:bidi w:val="0"/>
        <w:rPr>
          <w:rFonts w:hint="eastAsia"/>
          <w:color w:val="auto"/>
        </w:rPr>
      </w:pPr>
      <w:r>
        <w:rPr>
          <w:rFonts w:hint="eastAsia"/>
          <w:color w:val="auto"/>
        </w:rPr>
        <w:t>《城市道路绿化规划与设计规范》CJJ/75-1997；</w:t>
      </w:r>
    </w:p>
    <w:p>
      <w:pPr>
        <w:bidi w:val="0"/>
        <w:rPr>
          <w:rFonts w:hint="eastAsia"/>
          <w:color w:val="auto"/>
        </w:rPr>
      </w:pPr>
      <w:r>
        <w:rPr>
          <w:rFonts w:hint="eastAsia"/>
          <w:color w:val="auto"/>
        </w:rPr>
        <w:t>《城市绿化条例》（2017修订）；</w:t>
      </w:r>
    </w:p>
    <w:p>
      <w:pPr>
        <w:bidi w:val="0"/>
        <w:rPr>
          <w:rFonts w:hint="eastAsia"/>
          <w:color w:val="auto"/>
        </w:rPr>
      </w:pPr>
      <w:r>
        <w:rPr>
          <w:rFonts w:hint="eastAsia"/>
          <w:color w:val="auto"/>
        </w:rPr>
        <w:t>《城市绿化和园林绿地用植物材料木本苗》（CJ/T24-1999）；</w:t>
      </w:r>
    </w:p>
    <w:p>
      <w:pPr>
        <w:bidi w:val="0"/>
        <w:rPr>
          <w:rFonts w:hint="eastAsia"/>
          <w:color w:val="auto"/>
        </w:rPr>
      </w:pPr>
      <w:r>
        <w:rPr>
          <w:rFonts w:hint="eastAsia"/>
          <w:color w:val="auto"/>
        </w:rPr>
        <w:t>《绿化种植土壤》（CJ/T340-2016）；</w:t>
      </w:r>
    </w:p>
    <w:p>
      <w:pPr>
        <w:bidi w:val="0"/>
        <w:rPr>
          <w:rFonts w:hint="eastAsia"/>
          <w:color w:val="auto"/>
        </w:rPr>
      </w:pPr>
      <w:r>
        <w:rPr>
          <w:rFonts w:hint="eastAsia"/>
          <w:color w:val="auto"/>
        </w:rPr>
        <w:t>《公路环境保护设计规范》JTGB04-2010；</w:t>
      </w:r>
    </w:p>
    <w:p>
      <w:pPr>
        <w:bidi w:val="0"/>
        <w:rPr>
          <w:rFonts w:hint="eastAsia"/>
          <w:color w:val="auto"/>
        </w:rPr>
      </w:pPr>
      <w:r>
        <w:rPr>
          <w:rFonts w:hint="eastAsia"/>
          <w:color w:val="auto"/>
        </w:rPr>
        <w:t>《交通建设项目环境保护管理方法》；</w:t>
      </w:r>
    </w:p>
    <w:p>
      <w:pPr>
        <w:bidi w:val="0"/>
        <w:rPr>
          <w:rFonts w:hint="eastAsia"/>
          <w:color w:val="auto"/>
        </w:rPr>
      </w:pPr>
      <w:r>
        <w:rPr>
          <w:rFonts w:hint="eastAsia"/>
          <w:color w:val="auto"/>
        </w:rPr>
        <w:t>本项目设计图、地形图及相关资料；</w:t>
      </w:r>
    </w:p>
    <w:p>
      <w:pPr>
        <w:bidi w:val="0"/>
        <w:rPr>
          <w:rFonts w:hint="eastAsia"/>
          <w:color w:val="auto"/>
        </w:rPr>
      </w:pPr>
      <w:r>
        <w:rPr>
          <w:rFonts w:hint="eastAsia"/>
          <w:color w:val="auto"/>
        </w:rPr>
        <w:t>其他相关现行的技术设计规范。</w:t>
      </w:r>
    </w:p>
    <w:p>
      <w:pPr>
        <w:pStyle w:val="3"/>
        <w:bidi w:val="0"/>
        <w:rPr>
          <w:rFonts w:hint="eastAsia"/>
          <w:color w:val="auto"/>
          <w:lang w:val="en-US" w:eastAsia="zh-CN"/>
        </w:rPr>
      </w:pPr>
      <w:r>
        <w:rPr>
          <w:rFonts w:hint="eastAsia"/>
          <w:color w:val="auto"/>
          <w:lang w:val="en-US" w:eastAsia="zh-CN"/>
        </w:rPr>
        <w:t>设计原则</w:t>
      </w:r>
    </w:p>
    <w:p>
      <w:pPr>
        <w:pStyle w:val="4"/>
        <w:bidi w:val="0"/>
        <w:rPr>
          <w:rFonts w:hint="eastAsia"/>
          <w:color w:val="auto"/>
          <w:lang w:val="en-US" w:eastAsia="zh-CN"/>
        </w:rPr>
      </w:pPr>
      <w:r>
        <w:rPr>
          <w:rFonts w:hint="eastAsia"/>
          <w:color w:val="auto"/>
          <w:lang w:val="en-US" w:eastAsia="zh-CN"/>
        </w:rPr>
        <w:t>生态性原则</w:t>
      </w:r>
    </w:p>
    <w:p>
      <w:pPr>
        <w:bidi w:val="0"/>
        <w:rPr>
          <w:rFonts w:hint="eastAsia"/>
          <w:color w:val="auto"/>
        </w:rPr>
      </w:pPr>
      <w:r>
        <w:rPr>
          <w:rFonts w:hint="eastAsia"/>
          <w:color w:val="auto"/>
          <w:lang w:val="en-US" w:eastAsia="zh-CN"/>
        </w:rPr>
        <w:t>1）</w:t>
      </w:r>
      <w:r>
        <w:rPr>
          <w:rFonts w:hint="eastAsia"/>
          <w:color w:val="auto"/>
        </w:rPr>
        <w:t>坚持生态优先，实现城市道路绿化体系的总体建设目标；</w:t>
      </w:r>
    </w:p>
    <w:p>
      <w:pPr>
        <w:bidi w:val="0"/>
        <w:rPr>
          <w:rFonts w:hint="eastAsia"/>
          <w:color w:val="auto"/>
        </w:rPr>
      </w:pPr>
      <w:r>
        <w:rPr>
          <w:rFonts w:hint="eastAsia"/>
          <w:color w:val="auto"/>
          <w:lang w:val="en-US" w:eastAsia="zh-CN"/>
        </w:rPr>
        <w:t>2）</w:t>
      </w:r>
      <w:r>
        <w:rPr>
          <w:rFonts w:hint="eastAsia"/>
          <w:color w:val="auto"/>
        </w:rPr>
        <w:t>建设高标准的城市道路绿化体系，构成兼顾景观与生态功能的绿色长廊；</w:t>
      </w:r>
    </w:p>
    <w:p>
      <w:pPr>
        <w:bidi w:val="0"/>
        <w:rPr>
          <w:rFonts w:hint="eastAsia"/>
          <w:color w:val="auto"/>
        </w:rPr>
      </w:pPr>
      <w:r>
        <w:rPr>
          <w:rFonts w:hint="eastAsia"/>
          <w:color w:val="auto"/>
          <w:lang w:val="en-US" w:eastAsia="zh-CN"/>
        </w:rPr>
        <w:t>3）</w:t>
      </w:r>
      <w:r>
        <w:rPr>
          <w:rFonts w:hint="eastAsia"/>
          <w:color w:val="auto"/>
        </w:rPr>
        <w:t>坚持生物多样性，采用丰富的植物品种，坚持以树为主，乔灌结合，实现优化配置，提高生态效益。</w:t>
      </w:r>
    </w:p>
    <w:p>
      <w:pPr>
        <w:pStyle w:val="4"/>
        <w:bidi w:val="0"/>
        <w:rPr>
          <w:rFonts w:hint="eastAsia"/>
          <w:color w:val="auto"/>
          <w:lang w:val="en-US" w:eastAsia="zh-CN"/>
        </w:rPr>
      </w:pPr>
      <w:r>
        <w:rPr>
          <w:rFonts w:hint="eastAsia"/>
          <w:color w:val="auto"/>
          <w:lang w:val="en-US" w:eastAsia="zh-CN"/>
        </w:rPr>
        <w:t>安全性原则</w:t>
      </w:r>
    </w:p>
    <w:p>
      <w:pPr>
        <w:bidi w:val="0"/>
        <w:rPr>
          <w:rFonts w:hint="eastAsia"/>
          <w:color w:val="auto"/>
        </w:rPr>
      </w:pPr>
      <w:r>
        <w:rPr>
          <w:rFonts w:hint="eastAsia"/>
          <w:color w:val="auto"/>
        </w:rPr>
        <w:t>在道路交叉口以及绿化带的两端，鉴于驾驶员以及行人的安全视距要求，合理栽植H&lt;0.8m的低矮灌木；</w:t>
      </w:r>
    </w:p>
    <w:p>
      <w:pPr>
        <w:pStyle w:val="4"/>
        <w:bidi w:val="0"/>
        <w:rPr>
          <w:rFonts w:hint="eastAsia"/>
          <w:color w:val="auto"/>
          <w:lang w:val="en-US" w:eastAsia="zh-CN"/>
        </w:rPr>
      </w:pPr>
      <w:r>
        <w:rPr>
          <w:rFonts w:hint="eastAsia"/>
          <w:color w:val="auto"/>
          <w:lang w:val="en-US" w:eastAsia="zh-CN"/>
        </w:rPr>
        <w:t>协调性原则</w:t>
      </w:r>
    </w:p>
    <w:p>
      <w:pPr>
        <w:bidi w:val="0"/>
        <w:rPr>
          <w:rFonts w:hint="eastAsia"/>
          <w:color w:val="auto"/>
        </w:rPr>
      </w:pPr>
      <w:r>
        <w:rPr>
          <w:rFonts w:hint="eastAsia"/>
          <w:color w:val="auto"/>
        </w:rPr>
        <w:t>1）设计时必须考虑与周边环境的协调及后期景观效果；</w:t>
      </w:r>
    </w:p>
    <w:p>
      <w:pPr>
        <w:bidi w:val="0"/>
        <w:rPr>
          <w:rFonts w:hint="eastAsia"/>
          <w:color w:val="auto"/>
        </w:rPr>
      </w:pPr>
      <w:r>
        <w:rPr>
          <w:rFonts w:hint="eastAsia"/>
          <w:color w:val="auto"/>
        </w:rPr>
        <w:t>2）协调生态、社会、经济效益及后期景观效果；</w:t>
      </w:r>
    </w:p>
    <w:p>
      <w:pPr>
        <w:bidi w:val="0"/>
        <w:rPr>
          <w:rFonts w:hint="eastAsia"/>
          <w:color w:val="auto"/>
        </w:rPr>
      </w:pPr>
      <w:r>
        <w:rPr>
          <w:rFonts w:hint="eastAsia"/>
          <w:color w:val="auto"/>
        </w:rPr>
        <w:t>3）协调保护与开发、景观与生态、投入与产出、建设与养护的多重性关系，保证道路绿化体系的可持续发展。</w:t>
      </w:r>
    </w:p>
    <w:p>
      <w:pPr>
        <w:bidi w:val="0"/>
        <w:rPr>
          <w:rFonts w:hint="eastAsia"/>
          <w:color w:val="auto"/>
        </w:rPr>
      </w:pPr>
      <w:r>
        <w:rPr>
          <w:rFonts w:hint="eastAsia"/>
          <w:color w:val="auto"/>
        </w:rPr>
        <w:t>4）协调道路沿线各功能地块的总体景观建设，保证城市绿化体系结构得以良性的整体发展。</w:t>
      </w:r>
    </w:p>
    <w:p>
      <w:pPr>
        <w:pStyle w:val="4"/>
        <w:bidi w:val="0"/>
        <w:rPr>
          <w:rFonts w:hint="eastAsia"/>
          <w:color w:val="auto"/>
          <w:lang w:val="en-US" w:eastAsia="zh-CN"/>
        </w:rPr>
      </w:pPr>
      <w:r>
        <w:rPr>
          <w:rFonts w:hint="eastAsia"/>
          <w:color w:val="auto"/>
          <w:lang w:val="en-US" w:eastAsia="zh-CN"/>
        </w:rPr>
        <w:t>服务性原则</w:t>
      </w:r>
    </w:p>
    <w:p>
      <w:pPr>
        <w:bidi w:val="0"/>
        <w:rPr>
          <w:rFonts w:hint="eastAsia"/>
          <w:color w:val="auto"/>
        </w:rPr>
      </w:pPr>
      <w:r>
        <w:rPr>
          <w:rFonts w:hint="eastAsia"/>
          <w:color w:val="auto"/>
        </w:rPr>
        <w:t>体现以人为本的设计原则，使道路绿化体系更好的服务于社会、文明、经济的发展。</w:t>
      </w:r>
    </w:p>
    <w:p>
      <w:pPr>
        <w:pStyle w:val="4"/>
        <w:bidi w:val="0"/>
        <w:rPr>
          <w:rFonts w:hint="eastAsia"/>
          <w:color w:val="auto"/>
          <w:lang w:val="en-US" w:eastAsia="zh-CN"/>
        </w:rPr>
      </w:pPr>
      <w:r>
        <w:rPr>
          <w:rFonts w:hint="eastAsia"/>
          <w:color w:val="auto"/>
          <w:lang w:val="en-US" w:eastAsia="zh-CN"/>
        </w:rPr>
        <w:t>科学性及美观性原则</w:t>
      </w:r>
    </w:p>
    <w:p>
      <w:pPr>
        <w:bidi w:val="0"/>
        <w:rPr>
          <w:rFonts w:hint="eastAsia"/>
          <w:color w:val="auto"/>
        </w:rPr>
      </w:pPr>
      <w:r>
        <w:rPr>
          <w:rFonts w:hint="eastAsia"/>
          <w:color w:val="auto"/>
        </w:rPr>
        <w:t>考虑各品种植物之间的习性习态，以及树形叶色，在科学及美观的原则上合理进行植物配植。</w:t>
      </w:r>
    </w:p>
    <w:p>
      <w:pPr>
        <w:pStyle w:val="3"/>
        <w:bidi w:val="0"/>
        <w:rPr>
          <w:rFonts w:hint="eastAsia"/>
          <w:color w:val="auto"/>
          <w:lang w:val="en-US" w:eastAsia="zh-CN"/>
        </w:rPr>
      </w:pPr>
      <w:r>
        <w:rPr>
          <w:rFonts w:hint="eastAsia"/>
          <w:color w:val="auto"/>
          <w:lang w:val="en-US" w:eastAsia="zh-CN"/>
        </w:rPr>
        <w:t>设计方案</w:t>
      </w:r>
    </w:p>
    <w:p>
      <w:pPr>
        <w:pStyle w:val="4"/>
        <w:bidi w:val="0"/>
        <w:rPr>
          <w:rFonts w:hint="eastAsia"/>
          <w:color w:val="auto"/>
          <w:lang w:val="en-US" w:eastAsia="zh-CN"/>
        </w:rPr>
      </w:pPr>
      <w:r>
        <w:rPr>
          <w:rFonts w:hint="eastAsia"/>
          <w:color w:val="auto"/>
          <w:lang w:val="en-US" w:eastAsia="zh-CN"/>
        </w:rPr>
        <w:t>道路绿化</w:t>
      </w:r>
    </w:p>
    <w:p>
      <w:pPr>
        <w:bidi w:val="0"/>
        <w:rPr>
          <w:rFonts w:hint="eastAsia"/>
          <w:color w:val="auto"/>
          <w:lang w:val="en-US" w:eastAsia="zh-CN"/>
        </w:rPr>
      </w:pPr>
      <w:r>
        <w:rPr>
          <w:rFonts w:hint="eastAsia"/>
          <w:color w:val="auto"/>
          <w:lang w:val="en-US" w:eastAsia="zh-CN"/>
        </w:rPr>
        <w:t>行道树绿带位于机动车道两侧。既要冠大荫浓，又要保证不影响行人、车辆通行。故行道树选择：胸径15cm香樟，冠幅3.5~4.0m，要求分支点不低于2.5m。</w:t>
      </w:r>
    </w:p>
    <w:p>
      <w:pPr>
        <w:pStyle w:val="17"/>
        <w:bidi w:val="0"/>
        <w:rPr>
          <w:rFonts w:hint="eastAsia"/>
          <w:color w:val="auto"/>
        </w:rPr>
      </w:pPr>
      <w:r>
        <w:rPr>
          <w:rFonts w:hint="eastAsia"/>
          <w:color w:val="auto"/>
        </w:rPr>
        <w:drawing>
          <wp:inline distT="0" distB="0" distL="114300" distR="114300">
            <wp:extent cx="1353820" cy="1610360"/>
            <wp:effectExtent l="0" t="0" r="17780" b="8890"/>
            <wp:docPr id="78" name="图片 78" descr="JL0JV%178O@76EM3GZ21HS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JL0JV%178O@76EM3GZ21HSV"/>
                    <pic:cNvPicPr>
                      <a:picLocks noChangeAspect="1"/>
                    </pic:cNvPicPr>
                  </pic:nvPicPr>
                  <pic:blipFill>
                    <a:blip r:embed="rId12"/>
                    <a:stretch>
                      <a:fillRect/>
                    </a:stretch>
                  </pic:blipFill>
                  <pic:spPr>
                    <a:xfrm>
                      <a:off x="0" y="0"/>
                      <a:ext cx="1353820" cy="1610360"/>
                    </a:xfrm>
                    <a:prstGeom prst="rect">
                      <a:avLst/>
                    </a:prstGeom>
                  </pic:spPr>
                </pic:pic>
              </a:graphicData>
            </a:graphic>
          </wp:inline>
        </w:drawing>
      </w:r>
      <w:r>
        <w:rPr>
          <w:rFonts w:hint="eastAsia"/>
          <w:color w:val="auto"/>
        </w:rPr>
        <w:drawing>
          <wp:inline distT="0" distB="0" distL="114300" distR="114300">
            <wp:extent cx="3737610" cy="1594485"/>
            <wp:effectExtent l="0" t="0" r="15240" b="5715"/>
            <wp:docPr id="7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6"/>
                    <pic:cNvPicPr>
                      <a:picLocks noChangeAspect="1"/>
                    </pic:cNvPicPr>
                  </pic:nvPicPr>
                  <pic:blipFill>
                    <a:blip r:embed="rId13"/>
                    <a:stretch>
                      <a:fillRect/>
                    </a:stretch>
                  </pic:blipFill>
                  <pic:spPr>
                    <a:xfrm>
                      <a:off x="0" y="0"/>
                      <a:ext cx="3737610" cy="1594485"/>
                    </a:xfrm>
                    <a:prstGeom prst="rect">
                      <a:avLst/>
                    </a:prstGeom>
                    <a:noFill/>
                    <a:ln>
                      <a:noFill/>
                    </a:ln>
                  </pic:spPr>
                </pic:pic>
              </a:graphicData>
            </a:graphic>
          </wp:inline>
        </w:drawing>
      </w:r>
    </w:p>
    <w:p>
      <w:pPr>
        <w:pStyle w:val="17"/>
        <w:bidi w:val="0"/>
        <w:rPr>
          <w:rFonts w:hint="eastAsia"/>
          <w:color w:val="auto"/>
          <w:lang w:val="en-US" w:eastAsia="zh-CN"/>
        </w:rPr>
      </w:pPr>
      <w:r>
        <w:rPr>
          <w:rFonts w:hint="eastAsia"/>
          <w:color w:val="auto"/>
        </w:rPr>
        <w:t>樟树</w:t>
      </w:r>
      <w:r>
        <w:rPr>
          <w:rFonts w:hint="eastAsia"/>
          <w:color w:val="auto"/>
          <w:lang w:val="en-US" w:eastAsia="zh-CN"/>
        </w:rPr>
        <w:t>香樟（春）香樟果实樟叶变化</w:t>
      </w:r>
    </w:p>
    <w:p>
      <w:pPr>
        <w:numPr>
          <w:ilvl w:val="0"/>
          <w:numId w:val="2"/>
        </w:numPr>
        <w:bidi w:val="0"/>
        <w:rPr>
          <w:rFonts w:hint="eastAsia"/>
          <w:color w:val="auto"/>
          <w:lang w:val="en-US" w:eastAsia="zh-CN"/>
        </w:rPr>
      </w:pPr>
      <w:r>
        <w:rPr>
          <w:rFonts w:hint="eastAsia"/>
          <w:color w:val="auto"/>
          <w:lang w:val="en-US" w:eastAsia="zh-CN"/>
        </w:rPr>
        <w:t>果皮箱的选用：设置在人行道上，间隔60米双向设置，人流集中的地段适当增加，距路侧石0.5米。（果皮箱具体样式由甲方选定）</w:t>
      </w:r>
    </w:p>
    <w:p>
      <w:pPr>
        <w:pStyle w:val="17"/>
        <w:bidi w:val="0"/>
        <w:rPr>
          <w:rFonts w:hint="eastAsia"/>
          <w:color w:val="auto"/>
          <w:lang w:val="en-US" w:eastAsia="zh-CN"/>
        </w:rPr>
      </w:pPr>
      <w:r>
        <w:rPr>
          <w:rFonts w:hint="eastAsia"/>
          <w:color w:val="auto"/>
        </w:rPr>
        <w:drawing>
          <wp:inline distT="0" distB="0" distL="114300" distR="114300">
            <wp:extent cx="4867275" cy="2219325"/>
            <wp:effectExtent l="0" t="0" r="9525" b="9525"/>
            <wp:docPr id="8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
                    <pic:cNvPicPr>
                      <a:picLocks noChangeAspect="1"/>
                    </pic:cNvPicPr>
                  </pic:nvPicPr>
                  <pic:blipFill>
                    <a:blip r:embed="rId14"/>
                    <a:stretch>
                      <a:fillRect/>
                    </a:stretch>
                  </pic:blipFill>
                  <pic:spPr>
                    <a:xfrm>
                      <a:off x="0" y="0"/>
                      <a:ext cx="4867275" cy="2219325"/>
                    </a:xfrm>
                    <a:prstGeom prst="rect">
                      <a:avLst/>
                    </a:prstGeom>
                    <a:noFill/>
                    <a:ln>
                      <a:noFill/>
                    </a:ln>
                  </pic:spPr>
                </pic:pic>
              </a:graphicData>
            </a:graphic>
          </wp:inline>
        </w:drawing>
      </w:r>
    </w:p>
    <w:p>
      <w:pPr>
        <w:pStyle w:val="17"/>
        <w:bidi w:val="0"/>
        <w:rPr>
          <w:rFonts w:hint="eastAsia"/>
          <w:color w:val="auto"/>
          <w:lang w:val="en-US" w:eastAsia="zh-CN"/>
        </w:rPr>
      </w:pPr>
      <w:r>
        <w:rPr>
          <w:rFonts w:hint="eastAsia"/>
          <w:color w:val="auto"/>
          <w:lang w:val="en-US" w:eastAsia="zh-CN"/>
        </w:rPr>
        <w:t>果皮箱一（示意）果皮箱二（示意）</w:t>
      </w:r>
    </w:p>
    <w:p>
      <w:pPr>
        <w:pStyle w:val="3"/>
        <w:bidi w:val="0"/>
        <w:rPr>
          <w:rFonts w:hint="eastAsia"/>
          <w:color w:val="auto"/>
          <w:lang w:val="en-US" w:eastAsia="zh-CN"/>
        </w:rPr>
      </w:pPr>
      <w:r>
        <w:rPr>
          <w:rFonts w:hint="eastAsia"/>
          <w:color w:val="auto"/>
          <w:lang w:val="en-US" w:eastAsia="zh-CN"/>
        </w:rPr>
        <w:t>植物设计</w:t>
      </w:r>
    </w:p>
    <w:p>
      <w:pPr>
        <w:bidi w:val="0"/>
        <w:rPr>
          <w:rFonts w:hint="default"/>
          <w:color w:val="auto"/>
          <w:lang w:val="en-US" w:eastAsia="zh-CN"/>
        </w:rPr>
      </w:pPr>
      <w:r>
        <w:rPr>
          <w:rFonts w:hint="eastAsia"/>
          <w:color w:val="auto"/>
          <w:lang w:val="en-US" w:eastAsia="zh-CN"/>
        </w:rPr>
        <w:t>为美化整个库区，在厂房山墙处设置绿化，并充分利用地块的边角以及靠围墙处等可利用的地面，栽植高大乔木、花灌木、绿篱和草坪，使其具有遮阳、吸尘和降低噪音的效果。在绿化布置时，巧妙地借用色彩与植物配植，创造统一协调、简洁而不单调的环境空间，以花坛和少量景观小品等形式组成，并通过不同植物的组合与分隔，营造多层次的景观活动空间。</w:t>
      </w:r>
    </w:p>
    <w:p>
      <w:pPr>
        <w:pStyle w:val="2"/>
        <w:bidi w:val="0"/>
        <w:rPr>
          <w:rFonts w:hint="default"/>
          <w:color w:val="auto"/>
          <w:lang w:val="en-US" w:eastAsia="zh-CN"/>
        </w:rPr>
      </w:pPr>
      <w:r>
        <w:rPr>
          <w:rFonts w:hint="eastAsia"/>
          <w:color w:val="auto"/>
          <w:lang w:val="en-US" w:eastAsia="zh-CN"/>
        </w:rPr>
        <w:br w:type="column"/>
      </w:r>
      <w:r>
        <w:rPr>
          <w:rFonts w:hint="eastAsia"/>
          <w:color w:val="auto"/>
          <w:lang w:val="en-US" w:eastAsia="zh-CN"/>
        </w:rPr>
        <w:t>消防设计说明</w:t>
      </w:r>
    </w:p>
    <w:p>
      <w:pPr>
        <w:pStyle w:val="3"/>
        <w:bidi w:val="0"/>
        <w:rPr>
          <w:rFonts w:hint="default"/>
          <w:color w:val="auto"/>
          <w:lang w:val="en-US" w:eastAsia="zh-CN"/>
        </w:rPr>
      </w:pPr>
      <w:r>
        <w:rPr>
          <w:rFonts w:hint="eastAsia"/>
          <w:color w:val="auto"/>
          <w:lang w:val="en-US" w:eastAsia="zh-CN"/>
        </w:rPr>
        <w:t>设计依据</w:t>
      </w:r>
    </w:p>
    <w:p>
      <w:pPr>
        <w:bidi w:val="0"/>
        <w:rPr>
          <w:rFonts w:hint="default"/>
          <w:color w:val="auto"/>
          <w:lang w:val="en-US" w:eastAsia="zh-CN"/>
        </w:rPr>
      </w:pPr>
      <w:r>
        <w:rPr>
          <w:rFonts w:hint="default"/>
          <w:color w:val="auto"/>
          <w:lang w:val="en-US" w:eastAsia="zh-CN"/>
        </w:rPr>
        <w:t>《工程建设标准强制性条文房屋建筑部分》（2013年版）；</w:t>
      </w:r>
    </w:p>
    <w:p>
      <w:pPr>
        <w:bidi w:val="0"/>
        <w:rPr>
          <w:rFonts w:hint="default"/>
          <w:color w:val="auto"/>
          <w:lang w:val="en-US" w:eastAsia="zh-CN"/>
        </w:rPr>
      </w:pPr>
      <w:r>
        <w:rPr>
          <w:rFonts w:hint="default"/>
          <w:color w:val="auto"/>
          <w:lang w:val="en-US" w:eastAsia="zh-CN"/>
        </w:rPr>
        <w:t>《民用建筑设计统一标准》GB50352-2019；</w:t>
      </w:r>
    </w:p>
    <w:p>
      <w:pPr>
        <w:bidi w:val="0"/>
        <w:rPr>
          <w:rFonts w:hint="default"/>
          <w:color w:val="auto"/>
          <w:lang w:val="en-US" w:eastAsia="zh-CN"/>
        </w:rPr>
      </w:pPr>
      <w:r>
        <w:rPr>
          <w:rFonts w:hint="default"/>
          <w:color w:val="auto"/>
          <w:lang w:val="en-US" w:eastAsia="zh-CN"/>
        </w:rPr>
        <w:t>《建筑设计防火规范》GB50016-2014（2018年版）；</w:t>
      </w:r>
    </w:p>
    <w:p>
      <w:pPr>
        <w:bidi w:val="0"/>
        <w:rPr>
          <w:rFonts w:hint="default"/>
          <w:color w:val="auto"/>
          <w:lang w:val="en-US" w:eastAsia="zh-CN"/>
        </w:rPr>
      </w:pPr>
      <w:r>
        <w:rPr>
          <w:rFonts w:hint="default"/>
          <w:color w:val="auto"/>
          <w:lang w:val="en-US" w:eastAsia="zh-CN"/>
        </w:rPr>
        <w:t>《建筑防火通用规范》55037-2022</w:t>
      </w:r>
      <w:r>
        <w:rPr>
          <w:rFonts w:hint="eastAsia"/>
          <w:color w:val="auto"/>
          <w:lang w:val="en-US" w:eastAsia="zh-CN"/>
        </w:rPr>
        <w:t>；</w:t>
      </w:r>
    </w:p>
    <w:p>
      <w:pPr>
        <w:bidi w:val="0"/>
        <w:rPr>
          <w:rFonts w:hint="default"/>
          <w:color w:val="auto"/>
          <w:lang w:val="en-US" w:eastAsia="zh-CN"/>
        </w:rPr>
      </w:pPr>
      <w:r>
        <w:rPr>
          <w:rFonts w:hint="default"/>
          <w:color w:val="auto"/>
          <w:lang w:val="en-US" w:eastAsia="zh-CN"/>
        </w:rPr>
        <w:t>《建筑内部装修设计防火规范》GB50222-2017；</w:t>
      </w:r>
    </w:p>
    <w:p>
      <w:pPr>
        <w:bidi w:val="0"/>
        <w:rPr>
          <w:rFonts w:hint="default"/>
          <w:color w:val="auto"/>
          <w:lang w:val="en-US" w:eastAsia="zh-CN"/>
        </w:rPr>
      </w:pPr>
      <w:r>
        <w:rPr>
          <w:rFonts w:hint="default"/>
          <w:color w:val="auto"/>
          <w:lang w:val="en-US" w:eastAsia="zh-CN"/>
        </w:rPr>
        <w:t>《建筑工程设计文件编制深度的规定》（2016年版）；</w:t>
      </w:r>
    </w:p>
    <w:p>
      <w:pPr>
        <w:bidi w:val="0"/>
        <w:rPr>
          <w:rFonts w:hint="default"/>
          <w:color w:val="auto"/>
          <w:lang w:val="en-US" w:eastAsia="zh-CN"/>
        </w:rPr>
      </w:pPr>
      <w:r>
        <w:rPr>
          <w:rFonts w:hint="default"/>
          <w:color w:val="auto"/>
          <w:lang w:val="en-US" w:eastAsia="zh-CN"/>
        </w:rPr>
        <w:t>《工业企业总平面设计规范》GB50187-2012</w:t>
      </w:r>
    </w:p>
    <w:p>
      <w:pPr>
        <w:bidi w:val="0"/>
        <w:rPr>
          <w:rFonts w:hint="default"/>
          <w:color w:val="auto"/>
          <w:lang w:val="en-US" w:eastAsia="zh-CN"/>
        </w:rPr>
      </w:pPr>
      <w:r>
        <w:rPr>
          <w:rFonts w:hint="default"/>
          <w:color w:val="auto"/>
          <w:lang w:val="en-US" w:eastAsia="zh-CN"/>
        </w:rPr>
        <w:t>《火灾自动报警系统设计规范》GB50116-2013；</w:t>
      </w:r>
    </w:p>
    <w:p>
      <w:pPr>
        <w:bidi w:val="0"/>
        <w:rPr>
          <w:rFonts w:hint="default"/>
          <w:color w:val="auto"/>
          <w:lang w:val="en-US" w:eastAsia="zh-CN"/>
        </w:rPr>
      </w:pPr>
      <w:r>
        <w:rPr>
          <w:rFonts w:hint="default"/>
          <w:color w:val="auto"/>
          <w:lang w:val="en-US" w:eastAsia="zh-CN"/>
        </w:rPr>
        <w:t>《玻璃幕墙工程技术规范》JGJ102-2003</w:t>
      </w:r>
    </w:p>
    <w:p>
      <w:pPr>
        <w:bidi w:val="0"/>
        <w:rPr>
          <w:rFonts w:hint="default"/>
          <w:color w:val="auto"/>
          <w:lang w:val="en-US" w:eastAsia="zh-CN"/>
        </w:rPr>
      </w:pPr>
      <w:r>
        <w:rPr>
          <w:rFonts w:hint="default"/>
          <w:color w:val="auto"/>
          <w:lang w:val="en-US" w:eastAsia="zh-CN"/>
        </w:rPr>
        <w:t>《民用建筑电气设计规范》JGJ16-2008；</w:t>
      </w:r>
    </w:p>
    <w:p>
      <w:pPr>
        <w:bidi w:val="0"/>
        <w:rPr>
          <w:rFonts w:hint="default"/>
          <w:color w:val="auto"/>
          <w:lang w:val="en-US" w:eastAsia="zh-CN"/>
        </w:rPr>
      </w:pPr>
      <w:r>
        <w:rPr>
          <w:rFonts w:hint="default"/>
          <w:color w:val="auto"/>
          <w:lang w:val="en-US" w:eastAsia="zh-CN"/>
        </w:rPr>
        <w:t>《消防应急照明和疏散指示系统》GB17945-2010</w:t>
      </w:r>
    </w:p>
    <w:p>
      <w:pPr>
        <w:bidi w:val="0"/>
        <w:rPr>
          <w:rFonts w:hint="default"/>
          <w:color w:val="auto"/>
          <w:lang w:val="en-US" w:eastAsia="zh-CN"/>
        </w:rPr>
      </w:pPr>
      <w:r>
        <w:rPr>
          <w:rFonts w:hint="default"/>
          <w:color w:val="auto"/>
          <w:lang w:val="en-US" w:eastAsia="zh-CN"/>
        </w:rPr>
        <w:t>《自动喷水灭火系统设计规范》GB50084-2017；</w:t>
      </w:r>
    </w:p>
    <w:p>
      <w:pPr>
        <w:bidi w:val="0"/>
        <w:rPr>
          <w:rFonts w:hint="default"/>
          <w:color w:val="auto"/>
          <w:lang w:val="en-US" w:eastAsia="zh-CN"/>
        </w:rPr>
      </w:pPr>
      <w:r>
        <w:rPr>
          <w:rFonts w:hint="default"/>
          <w:color w:val="auto"/>
          <w:lang w:val="en-US" w:eastAsia="zh-CN"/>
        </w:rPr>
        <w:t>《气体灭火系统设计规范》GB50370-2005；</w:t>
      </w:r>
    </w:p>
    <w:p>
      <w:pPr>
        <w:bidi w:val="0"/>
        <w:rPr>
          <w:rFonts w:hint="default"/>
          <w:color w:val="auto"/>
          <w:lang w:val="en-US" w:eastAsia="zh-CN"/>
        </w:rPr>
      </w:pPr>
      <w:r>
        <w:rPr>
          <w:rFonts w:hint="default"/>
          <w:color w:val="auto"/>
          <w:lang w:val="en-US" w:eastAsia="zh-CN"/>
        </w:rPr>
        <w:t>《建筑灭火器配置设计规范》GB50140-2005；</w:t>
      </w:r>
    </w:p>
    <w:p>
      <w:pPr>
        <w:bidi w:val="0"/>
        <w:rPr>
          <w:rFonts w:hint="default"/>
          <w:color w:val="auto"/>
          <w:lang w:val="en-US" w:eastAsia="zh-CN"/>
        </w:rPr>
      </w:pPr>
      <w:r>
        <w:rPr>
          <w:rFonts w:hint="default"/>
          <w:color w:val="auto"/>
          <w:lang w:val="en-US" w:eastAsia="zh-CN"/>
        </w:rPr>
        <w:t>《民用建筑采暖通风与空气调节设计规范》GB50736－2012；</w:t>
      </w:r>
    </w:p>
    <w:p>
      <w:pPr>
        <w:bidi w:val="0"/>
        <w:rPr>
          <w:rFonts w:hint="default"/>
          <w:color w:val="auto"/>
          <w:lang w:val="en-US" w:eastAsia="zh-CN"/>
        </w:rPr>
      </w:pPr>
      <w:r>
        <w:rPr>
          <w:rFonts w:hint="default"/>
          <w:color w:val="auto"/>
          <w:lang w:val="en-US" w:eastAsia="zh-CN"/>
        </w:rPr>
        <w:t>《消防给水及消火栓系统技术规范》GB50974-2014；</w:t>
      </w:r>
    </w:p>
    <w:p>
      <w:pPr>
        <w:bidi w:val="0"/>
        <w:rPr>
          <w:rFonts w:hint="default"/>
          <w:color w:val="auto"/>
          <w:lang w:val="en-US" w:eastAsia="zh-CN"/>
        </w:rPr>
      </w:pPr>
      <w:r>
        <w:rPr>
          <w:rFonts w:hint="default"/>
          <w:color w:val="auto"/>
          <w:lang w:val="en-US" w:eastAsia="zh-CN"/>
        </w:rPr>
        <w:t>当地消防主管部门现行文件及法规</w:t>
      </w:r>
    </w:p>
    <w:p>
      <w:pPr>
        <w:pStyle w:val="3"/>
        <w:bidi w:val="0"/>
        <w:rPr>
          <w:rFonts w:hint="default"/>
          <w:color w:val="auto"/>
          <w:lang w:val="en-US" w:eastAsia="zh-CN"/>
        </w:rPr>
      </w:pPr>
      <w:r>
        <w:rPr>
          <w:rFonts w:hint="eastAsia"/>
          <w:color w:val="auto"/>
          <w:lang w:val="en-US" w:eastAsia="zh-CN"/>
        </w:rPr>
        <w:t>总平面消防设计</w:t>
      </w:r>
    </w:p>
    <w:p>
      <w:pPr>
        <w:bidi w:val="0"/>
        <w:rPr>
          <w:color w:val="auto"/>
        </w:rPr>
      </w:pPr>
      <w:r>
        <w:rPr>
          <w:rFonts w:hint="eastAsia"/>
          <w:color w:val="auto"/>
          <w:lang w:val="en-US" w:eastAsia="zh-CN"/>
        </w:rPr>
        <w:t>1、</w:t>
      </w:r>
      <w:r>
        <w:rPr>
          <w:rFonts w:hint="eastAsia"/>
          <w:color w:val="auto"/>
        </w:rPr>
        <w:t>防火间距</w:t>
      </w:r>
    </w:p>
    <w:p>
      <w:pPr>
        <w:bidi w:val="0"/>
        <w:rPr>
          <w:color w:val="auto"/>
        </w:rPr>
      </w:pPr>
      <w:r>
        <w:rPr>
          <w:rFonts w:hint="eastAsia"/>
          <w:color w:val="auto"/>
        </w:rPr>
        <w:t>本项目周边为园区内部道路。配套服务区为多层建筑，与厂房之间的建筑间距为</w:t>
      </w:r>
      <w:r>
        <w:rPr>
          <w:rFonts w:hint="eastAsia"/>
          <w:color w:val="auto"/>
          <w:lang w:val="en-US" w:eastAsia="zh-CN"/>
        </w:rPr>
        <w:t>24</w:t>
      </w:r>
      <w:r>
        <w:rPr>
          <w:rFonts w:hint="eastAsia"/>
          <w:color w:val="auto"/>
        </w:rPr>
        <w:t>米，厂房建筑均为多层，建筑之间间距均大于</w:t>
      </w:r>
      <w:r>
        <w:rPr>
          <w:rFonts w:hint="eastAsia"/>
          <w:color w:val="auto"/>
          <w:lang w:val="en-US" w:eastAsia="zh-CN"/>
        </w:rPr>
        <w:t>12</w:t>
      </w:r>
      <w:r>
        <w:rPr>
          <w:rFonts w:hint="eastAsia"/>
          <w:color w:val="auto"/>
        </w:rPr>
        <w:t>米，建筑物之间的距离均满足防火间距要求。</w:t>
      </w:r>
    </w:p>
    <w:p>
      <w:pPr>
        <w:bidi w:val="0"/>
        <w:rPr>
          <w:color w:val="auto"/>
        </w:rPr>
      </w:pPr>
      <w:r>
        <w:rPr>
          <w:rFonts w:hint="eastAsia"/>
          <w:color w:val="auto"/>
          <w:lang w:val="en-US" w:eastAsia="zh-CN"/>
        </w:rPr>
        <w:t>2、</w:t>
      </w:r>
      <w:r>
        <w:rPr>
          <w:rFonts w:hint="eastAsia"/>
          <w:color w:val="auto"/>
        </w:rPr>
        <w:t>消防车道</w:t>
      </w:r>
    </w:p>
    <w:p>
      <w:pPr>
        <w:bidi w:val="0"/>
        <w:rPr>
          <w:rFonts w:hint="eastAsia"/>
          <w:color w:val="auto"/>
        </w:rPr>
      </w:pPr>
      <w:r>
        <w:rPr>
          <w:rFonts w:hint="eastAsia"/>
          <w:color w:val="auto"/>
        </w:rPr>
        <w:t>根据总平面布置，场地内部设有9米宽的道路，可以兼做消防通道，消防车可以快速便捷的到达设计的建筑周边。</w:t>
      </w:r>
    </w:p>
    <w:p>
      <w:pPr>
        <w:pStyle w:val="3"/>
        <w:bidi w:val="0"/>
        <w:rPr>
          <w:rFonts w:hint="default"/>
          <w:color w:val="auto"/>
          <w:lang w:val="en-US" w:eastAsia="zh-CN"/>
        </w:rPr>
      </w:pPr>
      <w:r>
        <w:rPr>
          <w:rFonts w:hint="eastAsia"/>
          <w:color w:val="auto"/>
          <w:lang w:val="en-US" w:eastAsia="zh-CN"/>
        </w:rPr>
        <w:t>建筑消防</w:t>
      </w:r>
    </w:p>
    <w:p>
      <w:pPr>
        <w:bidi w:val="0"/>
        <w:rPr>
          <w:rFonts w:hint="default"/>
          <w:color w:val="auto"/>
          <w:lang w:val="en-US" w:eastAsia="zh-CN"/>
        </w:rPr>
      </w:pPr>
      <w:r>
        <w:rPr>
          <w:rFonts w:hint="eastAsia"/>
          <w:color w:val="auto"/>
          <w:lang w:val="en-US" w:eastAsia="zh-CN"/>
        </w:rPr>
        <w:t>1、</w:t>
      </w:r>
      <w:r>
        <w:rPr>
          <w:rFonts w:hint="default"/>
          <w:color w:val="auto"/>
          <w:lang w:val="en-US" w:eastAsia="zh-CN"/>
        </w:rPr>
        <w:t>防火分类与耐火等级</w:t>
      </w:r>
    </w:p>
    <w:p>
      <w:pPr>
        <w:bidi w:val="0"/>
        <w:rPr>
          <w:rFonts w:hint="eastAsia"/>
          <w:color w:val="auto"/>
          <w:lang w:val="en-US" w:eastAsia="zh-CN"/>
        </w:rPr>
      </w:pPr>
      <w:r>
        <w:rPr>
          <w:rFonts w:hint="default"/>
          <w:color w:val="auto"/>
          <w:lang w:val="en-US" w:eastAsia="zh-CN"/>
        </w:rPr>
        <w:t>本次</w:t>
      </w:r>
      <w:r>
        <w:rPr>
          <w:rFonts w:hint="eastAsia"/>
          <w:color w:val="auto"/>
          <w:lang w:val="en-US" w:eastAsia="zh-CN"/>
        </w:rPr>
        <w:t>单体</w:t>
      </w:r>
      <w:r>
        <w:rPr>
          <w:rFonts w:hint="default"/>
          <w:color w:val="auto"/>
          <w:lang w:val="en-US" w:eastAsia="zh-CN"/>
        </w:rPr>
        <w:t>建筑为多层</w:t>
      </w:r>
      <w:r>
        <w:rPr>
          <w:rFonts w:hint="eastAsia"/>
          <w:color w:val="auto"/>
          <w:lang w:val="en-US" w:eastAsia="zh-CN"/>
        </w:rPr>
        <w:t>厂房及多层</w:t>
      </w:r>
      <w:r>
        <w:rPr>
          <w:rFonts w:hint="default"/>
          <w:color w:val="auto"/>
          <w:lang w:val="en-US" w:eastAsia="zh-CN"/>
        </w:rPr>
        <w:t>公共建筑，耐火等级</w:t>
      </w:r>
      <w:r>
        <w:rPr>
          <w:rFonts w:hint="eastAsia"/>
          <w:color w:val="auto"/>
          <w:lang w:val="en-US" w:eastAsia="zh-CN"/>
        </w:rPr>
        <w:t>均</w:t>
      </w:r>
      <w:r>
        <w:rPr>
          <w:rFonts w:hint="default"/>
          <w:color w:val="auto"/>
          <w:lang w:val="en-US" w:eastAsia="zh-CN"/>
        </w:rPr>
        <w:t>为二级。</w:t>
      </w:r>
      <w:r>
        <w:rPr>
          <w:rFonts w:hint="eastAsia"/>
          <w:color w:val="auto"/>
          <w:lang w:val="en-US" w:eastAsia="zh-CN"/>
        </w:rPr>
        <w:t>厂房为燃烧物较少的多层丁类厂房。</w:t>
      </w:r>
    </w:p>
    <w:p>
      <w:pPr>
        <w:bidi w:val="0"/>
        <w:rPr>
          <w:rFonts w:hint="default"/>
          <w:color w:val="auto"/>
          <w:lang w:val="en-US" w:eastAsia="zh-CN"/>
        </w:rPr>
      </w:pPr>
      <w:r>
        <w:rPr>
          <w:rFonts w:hint="eastAsia"/>
          <w:color w:val="auto"/>
          <w:lang w:val="en-US" w:eastAsia="zh-CN"/>
        </w:rPr>
        <w:t>2、</w:t>
      </w:r>
      <w:r>
        <w:rPr>
          <w:rFonts w:hint="default"/>
          <w:color w:val="auto"/>
          <w:lang w:val="en-US" w:eastAsia="zh-CN"/>
        </w:rPr>
        <w:t>防火分区</w:t>
      </w:r>
    </w:p>
    <w:p>
      <w:pPr>
        <w:bidi w:val="0"/>
        <w:rPr>
          <w:rFonts w:hint="eastAsia"/>
          <w:color w:val="auto"/>
          <w:lang w:val="en-US" w:eastAsia="zh-CN"/>
        </w:rPr>
      </w:pPr>
      <w:r>
        <w:rPr>
          <w:rFonts w:hint="eastAsia"/>
          <w:color w:val="auto"/>
          <w:lang w:val="en-US" w:eastAsia="zh-CN"/>
        </w:rPr>
        <w:t>1）</w:t>
      </w:r>
      <w:r>
        <w:rPr>
          <w:rFonts w:hint="default"/>
          <w:color w:val="auto"/>
          <w:lang w:val="en-US" w:eastAsia="zh-CN"/>
        </w:rPr>
        <w:t>厂房</w:t>
      </w:r>
      <w:r>
        <w:rPr>
          <w:rFonts w:hint="eastAsia"/>
          <w:color w:val="auto"/>
          <w:lang w:val="en-US" w:eastAsia="zh-CN"/>
        </w:rPr>
        <w:t>：</w:t>
      </w:r>
      <w:r>
        <w:rPr>
          <w:rFonts w:hint="default"/>
          <w:color w:val="auto"/>
          <w:lang w:val="en-US" w:eastAsia="zh-CN"/>
        </w:rPr>
        <w:t>建筑每自然层为一个防火分区</w:t>
      </w:r>
      <w:r>
        <w:rPr>
          <w:rFonts w:hint="eastAsia"/>
          <w:color w:val="auto"/>
          <w:lang w:val="en-US" w:eastAsia="zh-CN"/>
        </w:rPr>
        <w:t>；防火分区面积最大为3335.64㎡，规范要求防火分区最大建筑面积为8000平方米。本项目各栋厂房防火分区划分满足规范要求。</w:t>
      </w:r>
    </w:p>
    <w:p>
      <w:pPr>
        <w:bidi w:val="0"/>
        <w:rPr>
          <w:rFonts w:hint="eastAsia"/>
          <w:color w:val="auto"/>
          <w:lang w:val="en-US" w:eastAsia="zh-CN"/>
        </w:rPr>
      </w:pPr>
      <w:r>
        <w:rPr>
          <w:rFonts w:hint="eastAsia"/>
          <w:color w:val="auto"/>
          <w:lang w:val="en-US" w:eastAsia="zh-CN"/>
        </w:rPr>
        <w:t>2）办公楼：每层为一个防火分区，防火分区面积最大为1175.64㎡，规范要求防火分区最大建筑面积为2500平方米，本栋防火分区划分满足规范要求</w:t>
      </w:r>
    </w:p>
    <w:p>
      <w:pPr>
        <w:bidi w:val="0"/>
        <w:rPr>
          <w:rFonts w:hint="eastAsia"/>
          <w:color w:val="auto"/>
          <w:lang w:val="en-US" w:eastAsia="zh-CN"/>
        </w:rPr>
      </w:pPr>
      <w:r>
        <w:rPr>
          <w:rFonts w:hint="eastAsia"/>
          <w:color w:val="auto"/>
          <w:lang w:val="en-US" w:eastAsia="zh-CN"/>
        </w:rPr>
        <w:t>2）宿舍楼：每层为一个防火分区，防火分区面积最大为1278.60㎡，规范要求防火分区最大建筑面积为2500平方米，本栋防火分区划分满足规范要求</w:t>
      </w:r>
    </w:p>
    <w:p>
      <w:pPr>
        <w:bidi w:val="0"/>
        <w:rPr>
          <w:rFonts w:hint="default"/>
          <w:color w:val="auto"/>
          <w:lang w:val="en-US" w:eastAsia="zh-CN"/>
        </w:rPr>
      </w:pPr>
      <w:r>
        <w:rPr>
          <w:rFonts w:hint="eastAsia"/>
          <w:color w:val="auto"/>
          <w:lang w:val="en-US" w:eastAsia="zh-CN"/>
        </w:rPr>
        <w:t>3、</w:t>
      </w:r>
      <w:r>
        <w:rPr>
          <w:rFonts w:hint="default"/>
          <w:color w:val="auto"/>
          <w:lang w:val="en-US" w:eastAsia="zh-CN"/>
        </w:rPr>
        <w:t>安全疏散</w:t>
      </w:r>
    </w:p>
    <w:p>
      <w:pPr>
        <w:bidi w:val="0"/>
        <w:rPr>
          <w:rFonts w:hint="default"/>
          <w:color w:val="auto"/>
          <w:lang w:val="en-US" w:eastAsia="zh-CN"/>
        </w:rPr>
      </w:pPr>
      <w:r>
        <w:rPr>
          <w:rFonts w:hint="eastAsia"/>
          <w:color w:val="auto"/>
          <w:lang w:val="en-US" w:eastAsia="zh-CN"/>
        </w:rPr>
        <w:t>1）厂房：</w:t>
      </w:r>
      <w:r>
        <w:rPr>
          <w:rFonts w:hint="default"/>
          <w:color w:val="auto"/>
          <w:lang w:val="en-US" w:eastAsia="zh-CN"/>
        </w:rPr>
        <w:t>每自然层均设2部</w:t>
      </w:r>
      <w:r>
        <w:rPr>
          <w:rFonts w:hint="eastAsia"/>
          <w:color w:val="auto"/>
          <w:lang w:val="en-US" w:eastAsia="zh-CN"/>
        </w:rPr>
        <w:t>封闭</w:t>
      </w:r>
      <w:r>
        <w:rPr>
          <w:rFonts w:hint="default"/>
          <w:color w:val="auto"/>
          <w:lang w:val="en-US" w:eastAsia="zh-CN"/>
        </w:rPr>
        <w:t>楼梯</w:t>
      </w:r>
      <w:r>
        <w:rPr>
          <w:rFonts w:hint="eastAsia"/>
          <w:color w:val="auto"/>
          <w:lang w:val="en-US" w:eastAsia="zh-CN"/>
        </w:rPr>
        <w:t>间作为</w:t>
      </w:r>
      <w:r>
        <w:rPr>
          <w:rFonts w:hint="default"/>
          <w:color w:val="auto"/>
          <w:lang w:val="en-US" w:eastAsia="zh-CN"/>
        </w:rPr>
        <w:t>疏散</w:t>
      </w:r>
      <w:r>
        <w:rPr>
          <w:rFonts w:hint="eastAsia"/>
          <w:color w:val="auto"/>
          <w:lang w:val="en-US" w:eastAsia="zh-CN"/>
        </w:rPr>
        <w:t>楼梯</w:t>
      </w:r>
      <w:r>
        <w:rPr>
          <w:rFonts w:hint="default"/>
          <w:color w:val="auto"/>
          <w:lang w:val="en-US" w:eastAsia="zh-CN"/>
        </w:rPr>
        <w:t>，楼梯宽度</w:t>
      </w:r>
      <w:r>
        <w:rPr>
          <w:rFonts w:hint="eastAsia"/>
          <w:color w:val="auto"/>
          <w:lang w:val="en-US" w:eastAsia="zh-CN"/>
        </w:rPr>
        <w:t>1.3米，</w:t>
      </w:r>
      <w:r>
        <w:rPr>
          <w:rFonts w:hint="default"/>
          <w:color w:val="auto"/>
          <w:lang w:val="en-US" w:eastAsia="zh-CN"/>
        </w:rPr>
        <w:t>均</w:t>
      </w:r>
      <w:r>
        <w:rPr>
          <w:rFonts w:hint="eastAsia"/>
          <w:color w:val="auto"/>
          <w:lang w:val="en-US" w:eastAsia="zh-CN"/>
        </w:rPr>
        <w:t>满足</w:t>
      </w:r>
      <w:r>
        <w:rPr>
          <w:rFonts w:hint="default"/>
          <w:color w:val="auto"/>
          <w:lang w:val="en-US" w:eastAsia="zh-CN"/>
        </w:rPr>
        <w:t>《建筑设计防火规范》（GB50016-2014）（2018年版）的要求。疏散口的距离均满足规范要求，疏散楼梯直接对外。安全疏散路线明确，并设置了事故照明和疏散指示标志。</w:t>
      </w:r>
    </w:p>
    <w:p>
      <w:pPr>
        <w:bidi w:val="0"/>
        <w:rPr>
          <w:rFonts w:hint="default"/>
          <w:color w:val="auto"/>
          <w:lang w:val="en-US" w:eastAsia="zh-CN"/>
        </w:rPr>
      </w:pPr>
      <w:r>
        <w:rPr>
          <w:rFonts w:hint="eastAsia"/>
          <w:color w:val="auto"/>
          <w:lang w:val="en-US" w:eastAsia="zh-CN"/>
        </w:rPr>
        <w:t>2）办公楼：</w:t>
      </w:r>
      <w:r>
        <w:rPr>
          <w:rFonts w:hint="default"/>
          <w:color w:val="auto"/>
          <w:lang w:val="en-US" w:eastAsia="zh-CN"/>
        </w:rPr>
        <w:t>每自然层均设2部</w:t>
      </w:r>
      <w:r>
        <w:rPr>
          <w:rFonts w:hint="eastAsia"/>
          <w:color w:val="auto"/>
          <w:lang w:val="en-US" w:eastAsia="zh-CN"/>
        </w:rPr>
        <w:t>开敞</w:t>
      </w:r>
      <w:r>
        <w:rPr>
          <w:rFonts w:hint="default"/>
          <w:color w:val="auto"/>
          <w:lang w:val="en-US" w:eastAsia="zh-CN"/>
        </w:rPr>
        <w:t>楼梯</w:t>
      </w:r>
      <w:r>
        <w:rPr>
          <w:rFonts w:hint="eastAsia"/>
          <w:color w:val="auto"/>
          <w:lang w:val="en-US" w:eastAsia="zh-CN"/>
        </w:rPr>
        <w:t>间作为</w:t>
      </w:r>
      <w:r>
        <w:rPr>
          <w:rFonts w:hint="default"/>
          <w:color w:val="auto"/>
          <w:lang w:val="en-US" w:eastAsia="zh-CN"/>
        </w:rPr>
        <w:t>疏散</w:t>
      </w:r>
      <w:r>
        <w:rPr>
          <w:rFonts w:hint="eastAsia"/>
          <w:color w:val="auto"/>
          <w:lang w:val="en-US" w:eastAsia="zh-CN"/>
        </w:rPr>
        <w:t>楼梯</w:t>
      </w:r>
      <w:r>
        <w:rPr>
          <w:rFonts w:hint="default"/>
          <w:color w:val="auto"/>
          <w:lang w:val="en-US" w:eastAsia="zh-CN"/>
        </w:rPr>
        <w:t>，楼梯宽度</w:t>
      </w:r>
      <w:r>
        <w:rPr>
          <w:rFonts w:hint="eastAsia"/>
          <w:color w:val="auto"/>
          <w:lang w:val="en-US" w:eastAsia="zh-CN"/>
        </w:rPr>
        <w:t>1.4米，</w:t>
      </w:r>
      <w:r>
        <w:rPr>
          <w:rFonts w:hint="default"/>
          <w:color w:val="auto"/>
          <w:lang w:val="en-US" w:eastAsia="zh-CN"/>
        </w:rPr>
        <w:t>均</w:t>
      </w:r>
      <w:r>
        <w:rPr>
          <w:rFonts w:hint="eastAsia"/>
          <w:color w:val="auto"/>
          <w:lang w:val="en-US" w:eastAsia="zh-CN"/>
        </w:rPr>
        <w:t>满足</w:t>
      </w:r>
      <w:r>
        <w:rPr>
          <w:rFonts w:hint="default"/>
          <w:color w:val="auto"/>
          <w:lang w:val="en-US" w:eastAsia="zh-CN"/>
        </w:rPr>
        <w:t>《建筑设计防火规范》（GB50016-2014）（2018年版）的要求。疏散口的距离均满足规范要求，疏散楼梯直接对外。安全疏散路线明确，并设置了事故照明和疏散指示标志。</w:t>
      </w:r>
    </w:p>
    <w:p>
      <w:pPr>
        <w:bidi w:val="0"/>
        <w:rPr>
          <w:rFonts w:hint="default"/>
          <w:color w:val="auto"/>
          <w:lang w:val="en-US" w:eastAsia="zh-CN"/>
        </w:rPr>
      </w:pPr>
      <w:r>
        <w:rPr>
          <w:rFonts w:hint="eastAsia"/>
          <w:color w:val="auto"/>
          <w:lang w:val="en-US" w:eastAsia="zh-CN"/>
        </w:rPr>
        <w:t>3）宿舍楼：</w:t>
      </w:r>
      <w:r>
        <w:rPr>
          <w:rFonts w:hint="default"/>
          <w:color w:val="auto"/>
          <w:lang w:val="en-US" w:eastAsia="zh-CN"/>
        </w:rPr>
        <w:t>每自然层均设</w:t>
      </w:r>
      <w:r>
        <w:rPr>
          <w:rFonts w:hint="eastAsia"/>
          <w:color w:val="auto"/>
          <w:lang w:val="en-US" w:eastAsia="zh-CN"/>
        </w:rPr>
        <w:t>2</w:t>
      </w:r>
      <w:r>
        <w:rPr>
          <w:rFonts w:hint="default"/>
          <w:color w:val="auto"/>
          <w:lang w:val="en-US" w:eastAsia="zh-CN"/>
        </w:rPr>
        <w:t>部</w:t>
      </w:r>
      <w:r>
        <w:rPr>
          <w:rFonts w:hint="eastAsia"/>
          <w:color w:val="auto"/>
          <w:lang w:val="en-US" w:eastAsia="zh-CN"/>
        </w:rPr>
        <w:t>封闭</w:t>
      </w:r>
      <w:r>
        <w:rPr>
          <w:rFonts w:hint="default"/>
          <w:color w:val="auto"/>
          <w:lang w:val="en-US" w:eastAsia="zh-CN"/>
        </w:rPr>
        <w:t>楼梯</w:t>
      </w:r>
      <w:r>
        <w:rPr>
          <w:rFonts w:hint="eastAsia"/>
          <w:color w:val="auto"/>
          <w:lang w:val="en-US" w:eastAsia="zh-CN"/>
        </w:rPr>
        <w:t>间作为</w:t>
      </w:r>
      <w:r>
        <w:rPr>
          <w:rFonts w:hint="default"/>
          <w:color w:val="auto"/>
          <w:lang w:val="en-US" w:eastAsia="zh-CN"/>
        </w:rPr>
        <w:t>疏散</w:t>
      </w:r>
      <w:r>
        <w:rPr>
          <w:rFonts w:hint="eastAsia"/>
          <w:color w:val="auto"/>
          <w:lang w:val="en-US" w:eastAsia="zh-CN"/>
        </w:rPr>
        <w:t>楼梯</w:t>
      </w:r>
      <w:r>
        <w:rPr>
          <w:rFonts w:hint="default"/>
          <w:color w:val="auto"/>
          <w:lang w:val="en-US" w:eastAsia="zh-CN"/>
        </w:rPr>
        <w:t>，楼梯宽度</w:t>
      </w:r>
      <w:r>
        <w:rPr>
          <w:rFonts w:hint="eastAsia"/>
          <w:color w:val="auto"/>
          <w:lang w:val="en-US" w:eastAsia="zh-CN"/>
        </w:rPr>
        <w:t>1.3米，</w:t>
      </w:r>
      <w:r>
        <w:rPr>
          <w:rFonts w:hint="default"/>
          <w:color w:val="auto"/>
          <w:lang w:val="en-US" w:eastAsia="zh-CN"/>
        </w:rPr>
        <w:t>均</w:t>
      </w:r>
      <w:r>
        <w:rPr>
          <w:rFonts w:hint="eastAsia"/>
          <w:color w:val="auto"/>
          <w:lang w:val="en-US" w:eastAsia="zh-CN"/>
        </w:rPr>
        <w:t>满足</w:t>
      </w:r>
      <w:r>
        <w:rPr>
          <w:rFonts w:hint="default"/>
          <w:color w:val="auto"/>
          <w:lang w:val="en-US" w:eastAsia="zh-CN"/>
        </w:rPr>
        <w:t>《建筑设计防火规范》（GB50016-2014）（2018年版）的要求。疏散口的距离均满足规范要求，疏散楼梯直接对外。安全疏散路线明确，并设置了事故照明和疏散指示标志。</w:t>
      </w:r>
    </w:p>
    <w:p>
      <w:pPr>
        <w:bidi w:val="0"/>
        <w:rPr>
          <w:rFonts w:hint="default"/>
          <w:color w:val="auto"/>
          <w:lang w:val="en-US" w:eastAsia="zh-CN"/>
        </w:rPr>
      </w:pPr>
      <w:r>
        <w:rPr>
          <w:rFonts w:hint="eastAsia"/>
          <w:color w:val="auto"/>
          <w:lang w:val="en-US" w:eastAsia="zh-CN"/>
        </w:rPr>
        <w:t>4</w:t>
      </w:r>
      <w:r>
        <w:rPr>
          <w:rFonts w:hint="default"/>
          <w:color w:val="auto"/>
          <w:lang w:val="en-US" w:eastAsia="zh-CN"/>
        </w:rPr>
        <w:t>、建筑外墙设消防救援窗,救援窗尺寸为1000X2100，并使用易碎钢化夹胶安全玻璃，便于消防救援人员进出，设置间距小于20米。</w:t>
      </w:r>
    </w:p>
    <w:p>
      <w:pPr>
        <w:pStyle w:val="3"/>
        <w:bidi w:val="0"/>
        <w:rPr>
          <w:rFonts w:hint="default"/>
          <w:color w:val="auto"/>
          <w:lang w:val="en-US" w:eastAsia="zh-CN"/>
        </w:rPr>
      </w:pPr>
      <w:r>
        <w:rPr>
          <w:rFonts w:hint="eastAsia"/>
          <w:color w:val="auto"/>
          <w:lang w:val="en-US" w:eastAsia="zh-CN"/>
        </w:rPr>
        <w:t>结构消防设计</w:t>
      </w:r>
    </w:p>
    <w:p>
      <w:pPr>
        <w:bidi w:val="0"/>
        <w:rPr>
          <w:rFonts w:hint="eastAsia"/>
          <w:color w:val="auto"/>
          <w:lang w:val="en-US" w:eastAsia="zh-CN"/>
        </w:rPr>
      </w:pPr>
      <w:r>
        <w:rPr>
          <w:rFonts w:hint="eastAsia"/>
          <w:color w:val="auto"/>
          <w:lang w:val="en-US" w:eastAsia="zh-CN"/>
        </w:rPr>
        <w:t>本工程耐火等级为二级，各构件的耐火极限按《建筑设计防火规范》GB50016-2014（2018年版）执行。</w:t>
      </w:r>
    </w:p>
    <w:p>
      <w:pPr>
        <w:bidi w:val="0"/>
        <w:rPr>
          <w:rFonts w:hint="eastAsia"/>
          <w:color w:val="auto"/>
          <w:lang w:val="en-US" w:eastAsia="zh-CN"/>
        </w:rPr>
      </w:pPr>
      <w:r>
        <w:rPr>
          <w:rFonts w:hint="eastAsia"/>
          <w:color w:val="auto"/>
          <w:lang w:val="en-US" w:eastAsia="zh-CN"/>
        </w:rPr>
        <w:t>钢筋混凝土构件及墙体，均为不燃烧体，利用自身厚度和保护层厚度，可以满足防火极限时间的要求。具体做法见下表：</w:t>
      </w:r>
    </w:p>
    <w:tbl>
      <w:tblPr>
        <w:tblStyle w:val="1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92"/>
        <w:gridCol w:w="1498"/>
        <w:gridCol w:w="1585"/>
        <w:gridCol w:w="1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592" w:type="dxa"/>
            <w:noWrap w:val="0"/>
            <w:vAlign w:val="center"/>
          </w:tcPr>
          <w:p>
            <w:pPr>
              <w:pStyle w:val="17"/>
              <w:bidi w:val="0"/>
              <w:rPr>
                <w:rFonts w:hint="eastAsia"/>
                <w:color w:val="auto"/>
                <w:lang w:val="en-US" w:eastAsia="zh-CN"/>
              </w:rPr>
            </w:pPr>
            <w:r>
              <w:rPr>
                <w:rFonts w:hint="eastAsia"/>
                <w:color w:val="auto"/>
                <w:lang w:val="en-US" w:eastAsia="zh-CN"/>
              </w:rPr>
              <w:t>结构构件</w:t>
            </w:r>
          </w:p>
        </w:tc>
        <w:tc>
          <w:tcPr>
            <w:tcW w:w="1498" w:type="dxa"/>
            <w:noWrap w:val="0"/>
            <w:vAlign w:val="center"/>
          </w:tcPr>
          <w:p>
            <w:pPr>
              <w:pStyle w:val="17"/>
              <w:bidi w:val="0"/>
              <w:rPr>
                <w:rFonts w:hint="eastAsia"/>
                <w:color w:val="auto"/>
                <w:lang w:val="en-US" w:eastAsia="zh-CN"/>
              </w:rPr>
            </w:pPr>
            <w:r>
              <w:rPr>
                <w:rFonts w:hint="eastAsia"/>
                <w:color w:val="auto"/>
                <w:lang w:val="en-US" w:eastAsia="zh-CN"/>
              </w:rPr>
              <w:t>实际耐火极限（h）</w:t>
            </w:r>
          </w:p>
        </w:tc>
        <w:tc>
          <w:tcPr>
            <w:tcW w:w="1585" w:type="dxa"/>
            <w:noWrap w:val="0"/>
            <w:vAlign w:val="center"/>
          </w:tcPr>
          <w:p>
            <w:pPr>
              <w:pStyle w:val="17"/>
              <w:bidi w:val="0"/>
              <w:rPr>
                <w:rFonts w:hint="eastAsia"/>
                <w:color w:val="auto"/>
                <w:lang w:val="en-US" w:eastAsia="zh-CN"/>
              </w:rPr>
            </w:pPr>
            <w:r>
              <w:rPr>
                <w:rFonts w:hint="eastAsia"/>
                <w:color w:val="auto"/>
                <w:lang w:val="en-US" w:eastAsia="zh-CN"/>
              </w:rPr>
              <w:t>保护层</w:t>
            </w:r>
          </w:p>
        </w:tc>
        <w:tc>
          <w:tcPr>
            <w:tcW w:w="1847" w:type="dxa"/>
            <w:noWrap w:val="0"/>
            <w:vAlign w:val="center"/>
          </w:tcPr>
          <w:p>
            <w:pPr>
              <w:pStyle w:val="17"/>
              <w:bidi w:val="0"/>
              <w:rPr>
                <w:rFonts w:hint="eastAsia"/>
                <w:color w:val="auto"/>
                <w:lang w:val="en-US" w:eastAsia="zh-CN"/>
              </w:rPr>
            </w:pPr>
            <w:r>
              <w:rPr>
                <w:rFonts w:hint="eastAsia"/>
                <w:color w:val="auto"/>
                <w:lang w:val="en-US" w:eastAsia="zh-CN"/>
              </w:rPr>
              <w:t>要求耐火极限（h）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3592" w:type="dxa"/>
            <w:noWrap w:val="0"/>
            <w:vAlign w:val="center"/>
          </w:tcPr>
          <w:p>
            <w:pPr>
              <w:pStyle w:val="17"/>
              <w:bidi w:val="0"/>
              <w:rPr>
                <w:rFonts w:hint="eastAsia"/>
                <w:color w:val="auto"/>
                <w:lang w:val="en-US" w:eastAsia="zh-CN"/>
              </w:rPr>
            </w:pPr>
            <w:r>
              <w:rPr>
                <w:rFonts w:hint="eastAsia"/>
                <w:color w:val="auto"/>
                <w:lang w:val="en-US" w:eastAsia="zh-CN"/>
              </w:rPr>
              <w:t>页岩多孔砖、加气砼砌块防火墙200mm厚（非承重墙）</w:t>
            </w:r>
          </w:p>
        </w:tc>
        <w:tc>
          <w:tcPr>
            <w:tcW w:w="1498" w:type="dxa"/>
            <w:noWrap w:val="0"/>
            <w:vAlign w:val="center"/>
          </w:tcPr>
          <w:p>
            <w:pPr>
              <w:pStyle w:val="17"/>
              <w:bidi w:val="0"/>
              <w:rPr>
                <w:rFonts w:hint="eastAsia"/>
                <w:color w:val="auto"/>
                <w:lang w:val="en-US" w:eastAsia="zh-CN"/>
              </w:rPr>
            </w:pPr>
            <w:r>
              <w:rPr>
                <w:rFonts w:hint="eastAsia"/>
                <w:color w:val="auto"/>
                <w:lang w:val="en-US" w:eastAsia="zh-CN"/>
              </w:rPr>
              <w:t>不燃烧体8.0</w:t>
            </w:r>
          </w:p>
        </w:tc>
        <w:tc>
          <w:tcPr>
            <w:tcW w:w="1585" w:type="dxa"/>
            <w:noWrap w:val="0"/>
            <w:vAlign w:val="center"/>
          </w:tcPr>
          <w:p>
            <w:pPr>
              <w:pStyle w:val="17"/>
              <w:bidi w:val="0"/>
              <w:rPr>
                <w:rFonts w:hint="eastAsia"/>
                <w:color w:val="auto"/>
                <w:lang w:val="en-US" w:eastAsia="zh-CN"/>
              </w:rPr>
            </w:pPr>
            <w:r>
              <w:rPr>
                <w:rFonts w:hint="eastAsia"/>
                <w:color w:val="auto"/>
                <w:lang w:val="en-US" w:eastAsia="zh-CN"/>
              </w:rPr>
              <w:t>双面抹灰15mm</w:t>
            </w:r>
          </w:p>
        </w:tc>
        <w:tc>
          <w:tcPr>
            <w:tcW w:w="1847" w:type="dxa"/>
            <w:noWrap w:val="0"/>
            <w:vAlign w:val="center"/>
          </w:tcPr>
          <w:p>
            <w:pPr>
              <w:pStyle w:val="17"/>
              <w:bidi w:val="0"/>
              <w:rPr>
                <w:rFonts w:hint="eastAsia"/>
                <w:color w:val="auto"/>
                <w:lang w:val="en-US" w:eastAsia="zh-CN"/>
              </w:rPr>
            </w:pPr>
            <w:r>
              <w:rPr>
                <w:rFonts w:hint="eastAsia"/>
                <w:color w:val="auto"/>
                <w:lang w:val="en-US" w:eastAsia="zh-CN"/>
              </w:rPr>
              <w:t>不燃烧体2.5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3592" w:type="dxa"/>
            <w:noWrap w:val="0"/>
            <w:vAlign w:val="center"/>
          </w:tcPr>
          <w:p>
            <w:pPr>
              <w:pStyle w:val="17"/>
              <w:bidi w:val="0"/>
              <w:rPr>
                <w:rFonts w:hint="eastAsia"/>
                <w:color w:val="auto"/>
                <w:lang w:val="en-US" w:eastAsia="zh-CN"/>
              </w:rPr>
            </w:pPr>
            <w:r>
              <w:rPr>
                <w:rFonts w:hint="eastAsia"/>
                <w:color w:val="auto"/>
                <w:lang w:val="en-US" w:eastAsia="zh-CN"/>
              </w:rPr>
              <w:t>钢筋混凝土防火墙最小厚度200mm</w:t>
            </w:r>
          </w:p>
        </w:tc>
        <w:tc>
          <w:tcPr>
            <w:tcW w:w="1498" w:type="dxa"/>
            <w:noWrap w:val="0"/>
            <w:vAlign w:val="center"/>
          </w:tcPr>
          <w:p>
            <w:pPr>
              <w:pStyle w:val="17"/>
              <w:bidi w:val="0"/>
              <w:rPr>
                <w:rFonts w:hint="eastAsia"/>
                <w:color w:val="auto"/>
                <w:lang w:val="en-US" w:eastAsia="zh-CN"/>
              </w:rPr>
            </w:pPr>
            <w:r>
              <w:rPr>
                <w:rFonts w:hint="eastAsia"/>
                <w:color w:val="auto"/>
                <w:lang w:val="en-US" w:eastAsia="zh-CN"/>
              </w:rPr>
              <w:t>不燃烧体3.50</w:t>
            </w:r>
          </w:p>
        </w:tc>
        <w:tc>
          <w:tcPr>
            <w:tcW w:w="1585" w:type="dxa"/>
            <w:noWrap w:val="0"/>
            <w:vAlign w:val="center"/>
          </w:tcPr>
          <w:p>
            <w:pPr>
              <w:pStyle w:val="17"/>
              <w:bidi w:val="0"/>
              <w:rPr>
                <w:rFonts w:hint="eastAsia"/>
                <w:color w:val="auto"/>
                <w:lang w:val="en-US" w:eastAsia="zh-CN"/>
              </w:rPr>
            </w:pPr>
            <w:r>
              <w:rPr>
                <w:rFonts w:hint="eastAsia"/>
                <w:color w:val="auto"/>
                <w:lang w:val="en-US" w:eastAsia="zh-CN"/>
              </w:rPr>
              <w:t>保护层15mm</w:t>
            </w:r>
          </w:p>
        </w:tc>
        <w:tc>
          <w:tcPr>
            <w:tcW w:w="1847" w:type="dxa"/>
            <w:noWrap w:val="0"/>
            <w:vAlign w:val="center"/>
          </w:tcPr>
          <w:p>
            <w:pPr>
              <w:pStyle w:val="17"/>
              <w:bidi w:val="0"/>
              <w:rPr>
                <w:rFonts w:hint="eastAsia"/>
                <w:color w:val="auto"/>
                <w:lang w:val="en-US" w:eastAsia="zh-CN"/>
              </w:rPr>
            </w:pPr>
            <w:r>
              <w:rPr>
                <w:rFonts w:hint="eastAsia"/>
                <w:color w:val="auto"/>
                <w:lang w:val="en-US" w:eastAsia="zh-CN"/>
              </w:rPr>
              <w:t>不燃烧体3.0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3592" w:type="dxa"/>
            <w:noWrap w:val="0"/>
            <w:vAlign w:val="center"/>
          </w:tcPr>
          <w:p>
            <w:pPr>
              <w:pStyle w:val="17"/>
              <w:bidi w:val="0"/>
              <w:rPr>
                <w:rFonts w:hint="eastAsia"/>
                <w:color w:val="auto"/>
                <w:lang w:val="en-US" w:eastAsia="zh-CN"/>
              </w:rPr>
            </w:pPr>
            <w:r>
              <w:rPr>
                <w:rFonts w:hint="eastAsia"/>
                <w:color w:val="auto"/>
                <w:lang w:val="en-US" w:eastAsia="zh-CN"/>
              </w:rPr>
              <w:t>钢筋混凝土柱最小截面300mmx400mm</w:t>
            </w:r>
          </w:p>
        </w:tc>
        <w:tc>
          <w:tcPr>
            <w:tcW w:w="1498" w:type="dxa"/>
            <w:noWrap w:val="0"/>
            <w:vAlign w:val="center"/>
          </w:tcPr>
          <w:p>
            <w:pPr>
              <w:pStyle w:val="17"/>
              <w:bidi w:val="0"/>
              <w:rPr>
                <w:rFonts w:hint="eastAsia"/>
                <w:color w:val="auto"/>
                <w:lang w:val="en-US" w:eastAsia="zh-CN"/>
              </w:rPr>
            </w:pPr>
            <w:r>
              <w:rPr>
                <w:rFonts w:hint="eastAsia"/>
                <w:color w:val="auto"/>
                <w:lang w:val="en-US" w:eastAsia="zh-CN"/>
              </w:rPr>
              <w:t>不燃烧体＞5.0</w:t>
            </w:r>
          </w:p>
        </w:tc>
        <w:tc>
          <w:tcPr>
            <w:tcW w:w="1585" w:type="dxa"/>
            <w:noWrap w:val="0"/>
            <w:vAlign w:val="center"/>
          </w:tcPr>
          <w:p>
            <w:pPr>
              <w:pStyle w:val="17"/>
              <w:bidi w:val="0"/>
              <w:rPr>
                <w:rFonts w:hint="eastAsia"/>
                <w:color w:val="auto"/>
                <w:lang w:val="en-US" w:eastAsia="zh-CN"/>
              </w:rPr>
            </w:pPr>
            <w:r>
              <w:rPr>
                <w:rFonts w:hint="eastAsia"/>
                <w:color w:val="auto"/>
                <w:lang w:val="en-US" w:eastAsia="zh-CN"/>
              </w:rPr>
              <w:t>保护层25mm</w:t>
            </w:r>
          </w:p>
        </w:tc>
        <w:tc>
          <w:tcPr>
            <w:tcW w:w="1847" w:type="dxa"/>
            <w:noWrap w:val="0"/>
            <w:vAlign w:val="center"/>
          </w:tcPr>
          <w:p>
            <w:pPr>
              <w:pStyle w:val="17"/>
              <w:bidi w:val="0"/>
              <w:rPr>
                <w:rFonts w:hint="eastAsia"/>
                <w:color w:val="auto"/>
                <w:lang w:val="en-US" w:eastAsia="zh-CN"/>
              </w:rPr>
            </w:pPr>
            <w:r>
              <w:rPr>
                <w:rFonts w:hint="eastAsia"/>
                <w:color w:val="auto"/>
                <w:lang w:val="en-US" w:eastAsia="zh-CN"/>
              </w:rPr>
              <w:t>不燃烧体2.5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592" w:type="dxa"/>
            <w:noWrap w:val="0"/>
            <w:vAlign w:val="center"/>
          </w:tcPr>
          <w:p>
            <w:pPr>
              <w:pStyle w:val="17"/>
              <w:bidi w:val="0"/>
              <w:rPr>
                <w:rFonts w:hint="eastAsia"/>
                <w:color w:val="auto"/>
                <w:lang w:val="en-US" w:eastAsia="zh-CN"/>
              </w:rPr>
            </w:pPr>
            <w:r>
              <w:rPr>
                <w:rFonts w:hint="eastAsia"/>
                <w:color w:val="auto"/>
                <w:lang w:val="en-US" w:eastAsia="zh-CN"/>
              </w:rPr>
              <w:t>现浇整体钢筋混凝土梁</w:t>
            </w:r>
          </w:p>
          <w:p>
            <w:pPr>
              <w:pStyle w:val="17"/>
              <w:bidi w:val="0"/>
              <w:rPr>
                <w:rFonts w:hint="eastAsia"/>
                <w:color w:val="auto"/>
                <w:lang w:val="en-US" w:eastAsia="zh-CN"/>
              </w:rPr>
            </w:pPr>
            <w:r>
              <w:rPr>
                <w:rFonts w:hint="eastAsia"/>
                <w:color w:val="auto"/>
                <w:lang w:val="en-US" w:eastAsia="zh-CN"/>
              </w:rPr>
              <w:t>最小截面200mmx400mm</w:t>
            </w:r>
          </w:p>
        </w:tc>
        <w:tc>
          <w:tcPr>
            <w:tcW w:w="1498" w:type="dxa"/>
            <w:noWrap w:val="0"/>
            <w:vAlign w:val="center"/>
          </w:tcPr>
          <w:p>
            <w:pPr>
              <w:pStyle w:val="17"/>
              <w:bidi w:val="0"/>
              <w:rPr>
                <w:rFonts w:hint="eastAsia"/>
                <w:color w:val="auto"/>
                <w:lang w:val="en-US" w:eastAsia="zh-CN"/>
              </w:rPr>
            </w:pPr>
            <w:r>
              <w:rPr>
                <w:rFonts w:hint="eastAsia"/>
                <w:color w:val="auto"/>
                <w:lang w:val="en-US" w:eastAsia="zh-CN"/>
              </w:rPr>
              <w:t>不燃烧体2.1</w:t>
            </w:r>
          </w:p>
        </w:tc>
        <w:tc>
          <w:tcPr>
            <w:tcW w:w="1585" w:type="dxa"/>
            <w:noWrap w:val="0"/>
            <w:vAlign w:val="center"/>
          </w:tcPr>
          <w:p>
            <w:pPr>
              <w:pStyle w:val="17"/>
              <w:bidi w:val="0"/>
              <w:rPr>
                <w:rFonts w:hint="eastAsia"/>
                <w:color w:val="auto"/>
                <w:lang w:val="en-US" w:eastAsia="zh-CN"/>
              </w:rPr>
            </w:pPr>
            <w:r>
              <w:rPr>
                <w:rFonts w:hint="eastAsia"/>
                <w:color w:val="auto"/>
                <w:lang w:val="en-US" w:eastAsia="zh-CN"/>
              </w:rPr>
              <w:t>保护层25mm</w:t>
            </w:r>
          </w:p>
        </w:tc>
        <w:tc>
          <w:tcPr>
            <w:tcW w:w="1847" w:type="dxa"/>
            <w:noWrap w:val="0"/>
            <w:vAlign w:val="center"/>
          </w:tcPr>
          <w:p>
            <w:pPr>
              <w:pStyle w:val="17"/>
              <w:bidi w:val="0"/>
              <w:rPr>
                <w:rFonts w:hint="eastAsia"/>
                <w:color w:val="auto"/>
                <w:lang w:val="en-US" w:eastAsia="zh-CN"/>
              </w:rPr>
            </w:pPr>
            <w:r>
              <w:rPr>
                <w:rFonts w:hint="eastAsia"/>
                <w:color w:val="auto"/>
                <w:lang w:val="en-US" w:eastAsia="zh-CN"/>
              </w:rPr>
              <w:t>不燃烧体1.5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592" w:type="dxa"/>
            <w:noWrap w:val="0"/>
            <w:vAlign w:val="center"/>
          </w:tcPr>
          <w:p>
            <w:pPr>
              <w:pStyle w:val="17"/>
              <w:bidi w:val="0"/>
              <w:rPr>
                <w:rFonts w:hint="eastAsia"/>
                <w:color w:val="auto"/>
                <w:lang w:val="en-US" w:eastAsia="zh-CN"/>
              </w:rPr>
            </w:pPr>
            <w:r>
              <w:rPr>
                <w:rFonts w:hint="eastAsia"/>
                <w:color w:val="auto"/>
                <w:lang w:val="en-US" w:eastAsia="zh-CN"/>
              </w:rPr>
              <w:t>现浇整体钢筋混凝土板</w:t>
            </w:r>
          </w:p>
          <w:p>
            <w:pPr>
              <w:pStyle w:val="17"/>
              <w:bidi w:val="0"/>
              <w:rPr>
                <w:rFonts w:hint="eastAsia"/>
                <w:color w:val="auto"/>
                <w:lang w:val="en-US" w:eastAsia="zh-CN"/>
              </w:rPr>
            </w:pPr>
            <w:r>
              <w:rPr>
                <w:rFonts w:hint="eastAsia"/>
                <w:color w:val="auto"/>
                <w:lang w:val="en-US" w:eastAsia="zh-CN"/>
              </w:rPr>
              <w:t>最小厚度100mm</w:t>
            </w:r>
          </w:p>
        </w:tc>
        <w:tc>
          <w:tcPr>
            <w:tcW w:w="1498" w:type="dxa"/>
            <w:noWrap w:val="0"/>
            <w:vAlign w:val="center"/>
          </w:tcPr>
          <w:p>
            <w:pPr>
              <w:pStyle w:val="17"/>
              <w:bidi w:val="0"/>
              <w:rPr>
                <w:rFonts w:hint="eastAsia"/>
                <w:color w:val="auto"/>
                <w:lang w:val="en-US" w:eastAsia="zh-CN"/>
              </w:rPr>
            </w:pPr>
            <w:r>
              <w:rPr>
                <w:rFonts w:hint="eastAsia"/>
                <w:color w:val="auto"/>
                <w:lang w:val="en-US" w:eastAsia="zh-CN"/>
              </w:rPr>
              <w:t>不燃烧体＞2.0</w:t>
            </w:r>
          </w:p>
        </w:tc>
        <w:tc>
          <w:tcPr>
            <w:tcW w:w="1585" w:type="dxa"/>
            <w:noWrap w:val="0"/>
            <w:vAlign w:val="center"/>
          </w:tcPr>
          <w:p>
            <w:pPr>
              <w:pStyle w:val="17"/>
              <w:bidi w:val="0"/>
              <w:rPr>
                <w:rFonts w:hint="eastAsia"/>
                <w:color w:val="auto"/>
                <w:lang w:val="en-US" w:eastAsia="zh-CN"/>
              </w:rPr>
            </w:pPr>
            <w:r>
              <w:rPr>
                <w:rFonts w:hint="eastAsia"/>
                <w:color w:val="auto"/>
                <w:lang w:val="en-US" w:eastAsia="zh-CN"/>
              </w:rPr>
              <w:t>保护层15mm</w:t>
            </w:r>
          </w:p>
        </w:tc>
        <w:tc>
          <w:tcPr>
            <w:tcW w:w="1847" w:type="dxa"/>
            <w:noWrap w:val="0"/>
            <w:vAlign w:val="center"/>
          </w:tcPr>
          <w:p>
            <w:pPr>
              <w:pStyle w:val="17"/>
              <w:bidi w:val="0"/>
              <w:rPr>
                <w:rFonts w:hint="eastAsia"/>
                <w:color w:val="auto"/>
                <w:lang w:val="en-US" w:eastAsia="zh-CN"/>
              </w:rPr>
            </w:pPr>
            <w:r>
              <w:rPr>
                <w:rFonts w:hint="eastAsia"/>
                <w:color w:val="auto"/>
                <w:lang w:val="en-US" w:eastAsia="zh-CN"/>
              </w:rPr>
              <w:t>不燃烧体1.0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592" w:type="dxa"/>
            <w:noWrap w:val="0"/>
            <w:vAlign w:val="center"/>
          </w:tcPr>
          <w:p>
            <w:pPr>
              <w:pStyle w:val="17"/>
              <w:bidi w:val="0"/>
              <w:rPr>
                <w:rFonts w:hint="eastAsia"/>
                <w:color w:val="auto"/>
                <w:lang w:val="en-US" w:eastAsia="zh-CN"/>
              </w:rPr>
            </w:pPr>
            <w:r>
              <w:rPr>
                <w:rFonts w:hint="eastAsia"/>
                <w:color w:val="auto"/>
                <w:lang w:val="en-US" w:eastAsia="zh-CN"/>
              </w:rPr>
              <w:t>防火墙下钢筋混凝土梁</w:t>
            </w:r>
          </w:p>
        </w:tc>
        <w:tc>
          <w:tcPr>
            <w:tcW w:w="1498" w:type="dxa"/>
            <w:noWrap w:val="0"/>
            <w:vAlign w:val="center"/>
          </w:tcPr>
          <w:p>
            <w:pPr>
              <w:pStyle w:val="17"/>
              <w:bidi w:val="0"/>
              <w:rPr>
                <w:rFonts w:hint="eastAsia"/>
                <w:color w:val="auto"/>
                <w:lang w:val="en-US" w:eastAsia="zh-CN"/>
              </w:rPr>
            </w:pPr>
            <w:r>
              <w:rPr>
                <w:rFonts w:hint="eastAsia"/>
                <w:color w:val="auto"/>
                <w:lang w:val="en-US" w:eastAsia="zh-CN"/>
              </w:rPr>
              <w:t>不燃烧体3.50</w:t>
            </w:r>
          </w:p>
        </w:tc>
        <w:tc>
          <w:tcPr>
            <w:tcW w:w="1585" w:type="dxa"/>
            <w:noWrap w:val="0"/>
            <w:vAlign w:val="center"/>
          </w:tcPr>
          <w:p>
            <w:pPr>
              <w:pStyle w:val="17"/>
              <w:bidi w:val="0"/>
              <w:rPr>
                <w:rFonts w:hint="eastAsia"/>
                <w:color w:val="auto"/>
                <w:lang w:val="en-US" w:eastAsia="zh-CN"/>
              </w:rPr>
            </w:pPr>
            <w:r>
              <w:rPr>
                <w:rFonts w:hint="eastAsia"/>
                <w:color w:val="auto"/>
                <w:lang w:val="en-US" w:eastAsia="zh-CN"/>
              </w:rPr>
              <w:t>保护层50mm（含粉刷层）</w:t>
            </w:r>
          </w:p>
        </w:tc>
        <w:tc>
          <w:tcPr>
            <w:tcW w:w="1847" w:type="dxa"/>
            <w:noWrap w:val="0"/>
            <w:vAlign w:val="center"/>
          </w:tcPr>
          <w:p>
            <w:pPr>
              <w:pStyle w:val="17"/>
              <w:bidi w:val="0"/>
              <w:rPr>
                <w:rFonts w:hint="eastAsia"/>
                <w:color w:val="auto"/>
                <w:lang w:val="en-US" w:eastAsia="zh-CN"/>
              </w:rPr>
            </w:pPr>
            <w:r>
              <w:rPr>
                <w:rFonts w:hint="eastAsia"/>
                <w:color w:val="auto"/>
                <w:lang w:val="en-US" w:eastAsia="zh-CN"/>
              </w:rPr>
              <w:t>不燃烧体3.0</w:t>
            </w:r>
          </w:p>
        </w:tc>
      </w:tr>
    </w:tbl>
    <w:p>
      <w:pPr>
        <w:pStyle w:val="3"/>
        <w:bidi w:val="0"/>
        <w:rPr>
          <w:color w:val="auto"/>
          <w:lang w:val="en-US" w:eastAsia="zh-CN"/>
        </w:rPr>
      </w:pPr>
      <w:r>
        <w:rPr>
          <w:rFonts w:hint="eastAsia"/>
          <w:color w:val="auto"/>
          <w:lang w:val="en-US" w:eastAsia="zh-CN"/>
        </w:rPr>
        <w:t>给排水消防设计</w:t>
      </w:r>
    </w:p>
    <w:p>
      <w:pPr>
        <w:pStyle w:val="4"/>
        <w:bidi w:val="0"/>
        <w:rPr>
          <w:color w:val="auto"/>
          <w:lang w:val="en-US" w:eastAsia="zh-CN"/>
        </w:rPr>
      </w:pPr>
      <w:r>
        <w:rPr>
          <w:rFonts w:hint="eastAsia"/>
          <w:color w:val="auto"/>
          <w:lang w:val="en-US" w:eastAsia="zh-CN"/>
        </w:rPr>
        <w:t>室外消防给水工程设计</w:t>
      </w:r>
    </w:p>
    <w:p>
      <w:pPr>
        <w:bidi w:val="0"/>
        <w:rPr>
          <w:color w:val="auto"/>
        </w:rPr>
      </w:pPr>
      <w:r>
        <w:rPr>
          <w:rFonts w:hint="eastAsia"/>
          <w:color w:val="auto"/>
        </w:rPr>
        <w:t>周边为一路市政水源。市政水源不满足室外消防用水水量和水压的要求（本项目市政引入点水压约0.35MPa，测压点标高48.5m。）</w:t>
      </w:r>
    </w:p>
    <w:p>
      <w:pPr>
        <w:bidi w:val="0"/>
        <w:rPr>
          <w:color w:val="auto"/>
        </w:rPr>
      </w:pPr>
      <w:r>
        <w:rPr>
          <w:rFonts w:hint="eastAsia"/>
          <w:color w:val="auto"/>
        </w:rPr>
        <w:t>室外消火栓系统采用临时高压制，地块东北侧设备用房设</w:t>
      </w:r>
      <w:r>
        <w:rPr>
          <w:color w:val="auto"/>
        </w:rPr>
        <w:t>288</w:t>
      </w:r>
      <w:r>
        <w:rPr>
          <w:rFonts w:hint="eastAsia"/>
          <w:color w:val="auto"/>
        </w:rPr>
        <w:t>m3消防水池及消防泵房，设2台室内外消火栓合泵（型号：流量40L/s，杨程56m，功率37kw），室外消防环状给水管网上设置室外消火栓，建筑物消防扑救面设置室外地上式消火栓，其余消火栓沿消防车道布置，间距不超过120m,距消防车道边不大于2.0m，距建筑物外墙不小于5.0m。室外消防给水管采用钢丝网骨架塑料复合管，电熔连接，压力等级1.60MPa。</w:t>
      </w:r>
    </w:p>
    <w:p>
      <w:pPr>
        <w:bidi w:val="0"/>
        <w:rPr>
          <w:color w:val="auto"/>
        </w:rPr>
      </w:pPr>
      <w:r>
        <w:rPr>
          <w:rFonts w:hint="eastAsia"/>
          <w:color w:val="auto"/>
        </w:rPr>
        <w:t>每座建筑设置消防水泵接合器。消防水泵接合器在建筑物附近就近沿消防车道设置,其周围15〜40m内设置室外消火栓，其数量按室内消防流量计算确定。</w:t>
      </w:r>
    </w:p>
    <w:p>
      <w:pPr>
        <w:pStyle w:val="4"/>
        <w:bidi w:val="0"/>
        <w:rPr>
          <w:color w:val="auto"/>
          <w:lang w:val="en-US" w:eastAsia="zh-CN"/>
        </w:rPr>
      </w:pPr>
      <w:r>
        <w:rPr>
          <w:color w:val="auto"/>
          <w:lang w:val="en-US" w:eastAsia="zh-CN"/>
        </w:rPr>
        <w:t>室内消防工程设计</w:t>
      </w:r>
    </w:p>
    <w:p>
      <w:pPr>
        <w:bidi w:val="0"/>
        <w:rPr>
          <w:color w:val="auto"/>
        </w:rPr>
      </w:pPr>
      <w:r>
        <w:rPr>
          <w:color w:val="auto"/>
        </w:rPr>
        <w:t>1、消防水源及消防用水量</w:t>
      </w:r>
    </w:p>
    <w:p>
      <w:pPr>
        <w:bidi w:val="0"/>
        <w:rPr>
          <w:color w:val="auto"/>
        </w:rPr>
      </w:pPr>
      <w:r>
        <w:rPr>
          <w:color w:val="auto"/>
        </w:rPr>
        <w:t>1）</w:t>
      </w:r>
      <w:r>
        <w:rPr>
          <w:color w:val="auto"/>
        </w:rPr>
        <w:tab/>
      </w:r>
      <w:r>
        <w:rPr>
          <w:color w:val="auto"/>
        </w:rPr>
        <w:t>消防水源</w:t>
      </w:r>
    </w:p>
    <w:p>
      <w:pPr>
        <w:bidi w:val="0"/>
        <w:rPr>
          <w:color w:val="auto"/>
        </w:rPr>
      </w:pPr>
      <w:r>
        <w:rPr>
          <w:color w:val="auto"/>
        </w:rPr>
        <w:t>采用城市自来水为供水水源。</w:t>
      </w:r>
    </w:p>
    <w:p>
      <w:pPr>
        <w:bidi w:val="0"/>
        <w:rPr>
          <w:color w:val="auto"/>
        </w:rPr>
      </w:pPr>
      <w:r>
        <w:rPr>
          <w:color w:val="auto"/>
        </w:rPr>
        <w:t>2）消防用水量：室外消火栓系统设计流量为25L/s,室内消火栓系统设计流量为15L/s,火灾延续时间为2h；扑灭一次火灾用水量为288立方米。</w:t>
      </w:r>
    </w:p>
    <w:p>
      <w:pPr>
        <w:bidi w:val="0"/>
        <w:rPr>
          <w:color w:val="auto"/>
        </w:rPr>
      </w:pPr>
      <w:r>
        <w:rPr>
          <w:color w:val="auto"/>
        </w:rPr>
        <w:t>2、项目</w:t>
      </w:r>
      <w:r>
        <w:rPr>
          <w:rFonts w:hint="eastAsia"/>
          <w:color w:val="auto"/>
        </w:rPr>
        <w:t>东</w:t>
      </w:r>
      <w:r>
        <w:rPr>
          <w:color w:val="auto"/>
        </w:rPr>
        <w:t>北侧设置消防水泵房及288立方消防水池，另在3#</w:t>
      </w:r>
      <w:r>
        <w:rPr>
          <w:rFonts w:hint="eastAsia"/>
          <w:color w:val="auto"/>
        </w:rPr>
        <w:t>厂房</w:t>
      </w:r>
      <w:r>
        <w:rPr>
          <w:color w:val="auto"/>
        </w:rPr>
        <w:t>屋顶</w:t>
      </w:r>
      <w:r>
        <w:rPr>
          <w:rFonts w:hint="eastAsia"/>
          <w:color w:val="auto"/>
        </w:rPr>
        <w:t>设置</w:t>
      </w:r>
      <w:r>
        <w:rPr>
          <w:color w:val="auto"/>
        </w:rPr>
        <w:t>18立方消防水箱，</w:t>
      </w:r>
      <w:r>
        <w:rPr>
          <w:rFonts w:hint="eastAsia"/>
          <w:color w:val="auto"/>
        </w:rPr>
        <w:t>高位水箱最低有效水位满足</w:t>
      </w:r>
      <w:r>
        <w:rPr>
          <w:color w:val="auto"/>
        </w:rPr>
        <w:t>最不利点消火栓栓口静压不小于7m的要求。</w:t>
      </w:r>
    </w:p>
    <w:p>
      <w:pPr>
        <w:bidi w:val="0"/>
        <w:rPr>
          <w:color w:val="auto"/>
        </w:rPr>
      </w:pPr>
      <w:r>
        <w:rPr>
          <w:color w:val="auto"/>
        </w:rPr>
        <w:t>3、室内消火栓系统</w:t>
      </w:r>
    </w:p>
    <w:p>
      <w:pPr>
        <w:bidi w:val="0"/>
        <w:rPr>
          <w:color w:val="auto"/>
        </w:rPr>
      </w:pPr>
      <w:r>
        <w:rPr>
          <w:color w:val="auto"/>
        </w:rPr>
        <w:t>1）本工程厂房为丁类，可燃物较少，可不设置室内消火栓系统，各栋厂房均已设置消防软管卷盘。宿舍楼、办公楼设置室内消火栓系统，属临时高压制，管道成环状布置。</w:t>
      </w:r>
    </w:p>
    <w:p>
      <w:pPr>
        <w:bidi w:val="0"/>
        <w:rPr>
          <w:color w:val="auto"/>
        </w:rPr>
      </w:pPr>
      <w:r>
        <w:rPr>
          <w:color w:val="auto"/>
        </w:rPr>
        <w:t>2）宿舍楼、办公楼每层设消火栓，其布置保证同一平面2股充实水柱同时达到任何部位。消防水枪的充实水柱为13m。</w:t>
      </w:r>
    </w:p>
    <w:p>
      <w:pPr>
        <w:bidi w:val="0"/>
        <w:rPr>
          <w:color w:val="auto"/>
        </w:rPr>
      </w:pPr>
      <w:r>
        <w:rPr>
          <w:color w:val="auto"/>
        </w:rPr>
        <w:t>3）消火栓箱内配置DN65消火栓一个、DN65的L25m麻质衬胶水带一条、DN65X019直流水枪一支、消防报警按钮和指示灯各一只。室内消火栓增设消防软管卷盘，型号为JPS1.0-19。</w:t>
      </w:r>
    </w:p>
    <w:p>
      <w:pPr>
        <w:bidi w:val="0"/>
        <w:rPr>
          <w:color w:val="auto"/>
        </w:rPr>
      </w:pPr>
      <w:r>
        <w:rPr>
          <w:color w:val="auto"/>
        </w:rPr>
        <w:t>4）建筑物消防扑救面设置设地上式消防水泵接合器，消防水泵接合器周围40米范围内设室外消火栓。</w:t>
      </w:r>
    </w:p>
    <w:p>
      <w:pPr>
        <w:bidi w:val="0"/>
        <w:rPr>
          <w:color w:val="auto"/>
        </w:rPr>
      </w:pPr>
      <w:r>
        <w:rPr>
          <w:color w:val="auto"/>
        </w:rPr>
        <w:t>5）系统控制</w:t>
      </w:r>
    </w:p>
    <w:p>
      <w:pPr>
        <w:bidi w:val="0"/>
        <w:rPr>
          <w:color w:val="auto"/>
        </w:rPr>
      </w:pPr>
      <w:r>
        <w:rPr>
          <w:color w:val="auto"/>
        </w:rPr>
        <w:t>消火栓系统出水干管上设置的低压压力开关、高位消防水箱出水管上设置的流量开关作为触发信号，直接控制启动消火栓泵；消火栓按钮同时作为动作报警信号及启动消火栓泵的联动触发信号，由消防联动控制器联动控制消火栓泵的启动。</w:t>
      </w:r>
    </w:p>
    <w:p>
      <w:pPr>
        <w:bidi w:val="0"/>
        <w:rPr>
          <w:color w:val="auto"/>
        </w:rPr>
      </w:pPr>
      <w:r>
        <w:rPr>
          <w:color w:val="auto"/>
        </w:rPr>
        <w:t>手动控制:将消火栓泵控制箱（柜）的启动、停止按钮用专用线路直接连接至设置在消防控制室内的消防联动控制器的手动控制盘，并直接手动控制消火栓泵的启动、停止。</w:t>
      </w:r>
    </w:p>
    <w:p>
      <w:pPr>
        <w:bidi w:val="0"/>
        <w:rPr>
          <w:color w:val="auto"/>
        </w:rPr>
      </w:pPr>
      <w:r>
        <w:rPr>
          <w:color w:val="auto"/>
        </w:rPr>
        <w:t>消火栓泵的动作信号同时反馈至消防联动控制器。</w:t>
      </w:r>
    </w:p>
    <w:p>
      <w:pPr>
        <w:bidi w:val="0"/>
        <w:rPr>
          <w:color w:val="auto"/>
        </w:rPr>
      </w:pPr>
      <w:r>
        <w:rPr>
          <w:color w:val="auto"/>
        </w:rPr>
        <w:t>6）管材：室内消火栓给水管采用热浸锌镀锌钢管，管道及配件公称压力为1.6MPa。管径DN&lt;50mm者采用丝扣连接，DN&gt;50mm者采用沟槽式卡箍连接。</w:t>
      </w:r>
    </w:p>
    <w:p>
      <w:pPr>
        <w:bidi w:val="0"/>
        <w:rPr>
          <w:color w:val="auto"/>
        </w:rPr>
      </w:pPr>
      <w:r>
        <w:rPr>
          <w:color w:val="auto"/>
        </w:rPr>
        <w:t>5、移动式灭火装置</w:t>
      </w:r>
    </w:p>
    <w:p>
      <w:pPr>
        <w:bidi w:val="0"/>
        <w:rPr>
          <w:color w:val="auto"/>
        </w:rPr>
      </w:pPr>
      <w:r>
        <w:rPr>
          <w:rFonts w:hint="eastAsia"/>
          <w:color w:val="auto"/>
        </w:rPr>
        <w:t>根</w:t>
      </w:r>
      <w:r>
        <w:rPr>
          <w:color w:val="auto"/>
        </w:rPr>
        <w:t>据《建筑灭火器配置设计规范》（GB50140－2005）规定，本工程建筑灭火器配置如下：</w:t>
      </w:r>
    </w:p>
    <w:p>
      <w:pPr>
        <w:bidi w:val="0"/>
        <w:rPr>
          <w:color w:val="auto"/>
        </w:rPr>
      </w:pPr>
      <w:r>
        <w:rPr>
          <w:color w:val="auto"/>
        </w:rPr>
        <w:t>本项目丁类厂房按A类轻危险级设置手提式磷酸铵盐干粉灭火器灭火器,办公楼按A类中危险级设置手提式磷酸铵盐干粉灭火器灭火器；每具灭火级别2A，每处布置两个，灭火剂充装量4Kg。宿舍楼按A类严重危险级设置手提式磷酸铵盐干粉灭火器最大保护距离为15m。配电间等电气用房按E类严重危险级设置手提式磷酸铵盐干粉灭火器灭火器，每具灭火级别3A，灭火剂充装量5Kg，灭火器最大保护距离为9m。本施工图中，仅示意灭火器的型号、数量与大致设置位置，施工单位可根据规范及现场的实际情况，对灭火器的设置作相应调整，但应满足《建筑灭火器配置设计规范》（GB50140-2005）对灭火器保护半径的要求，超过保护范围的在明显和便于取用的地点增设灭火器。灭火器设在消防箱内或灭火器箱内，灭火器箱不得上锁。</w:t>
      </w:r>
    </w:p>
    <w:p>
      <w:pPr>
        <w:bidi w:val="0"/>
        <w:rPr>
          <w:color w:val="auto"/>
        </w:rPr>
      </w:pPr>
      <w:r>
        <w:rPr>
          <w:color w:val="auto"/>
        </w:rPr>
        <w:t>6、气体灭火系统</w:t>
      </w:r>
    </w:p>
    <w:p>
      <w:pPr>
        <w:bidi w:val="0"/>
        <w:rPr>
          <w:color w:val="auto"/>
        </w:rPr>
      </w:pPr>
      <w:r>
        <w:rPr>
          <w:color w:val="auto"/>
        </w:rPr>
        <w:t>1）配电室设置七氟丙烷无管网自动灭火系统，设计浓度为9%，灭火剂喷放时间不超过10s，由箱式气体灭火装置与火灾探测器、气体灭火报警控制器等组成。</w:t>
      </w:r>
    </w:p>
    <w:p>
      <w:pPr>
        <w:bidi w:val="0"/>
        <w:rPr>
          <w:color w:val="auto"/>
        </w:rPr>
      </w:pPr>
      <w:r>
        <w:rPr>
          <w:color w:val="auto"/>
        </w:rPr>
        <w:t>2）系统设计基本参数详见表4。</w:t>
      </w:r>
    </w:p>
    <w:p>
      <w:pPr>
        <w:bidi w:val="0"/>
        <w:jc w:val="center"/>
        <w:rPr>
          <w:rFonts w:hint="eastAsia"/>
          <w:color w:val="auto"/>
        </w:rPr>
      </w:pPr>
      <w:r>
        <w:rPr>
          <w:color w:val="auto"/>
        </w:rPr>
        <w:t>气体灭火系统参数表</w:t>
      </w:r>
    </w:p>
    <w:tbl>
      <w:tblPr>
        <w:tblStyle w:val="14"/>
        <w:tblW w:w="4998"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273"/>
        <w:gridCol w:w="1591"/>
        <w:gridCol w:w="1335"/>
        <w:gridCol w:w="1335"/>
        <w:gridCol w:w="1476"/>
        <w:gridCol w:w="191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4" w:hRule="atLeast"/>
        </w:trPr>
        <w:tc>
          <w:tcPr>
            <w:tcW w:w="713" w:type="pct"/>
          </w:tcPr>
          <w:p>
            <w:pPr>
              <w:pStyle w:val="17"/>
              <w:bidi w:val="0"/>
              <w:rPr>
                <w:color w:val="auto"/>
                <w:lang w:eastAsia="zh-CN"/>
              </w:rPr>
            </w:pPr>
            <w:r>
              <w:rPr>
                <w:rFonts w:hint="eastAsia"/>
                <w:color w:val="auto"/>
              </w:rPr>
              <w:t>名称</w:t>
            </w:r>
          </w:p>
        </w:tc>
        <w:tc>
          <w:tcPr>
            <w:tcW w:w="891" w:type="pct"/>
          </w:tcPr>
          <w:p>
            <w:pPr>
              <w:pStyle w:val="17"/>
              <w:bidi w:val="0"/>
              <w:rPr>
                <w:color w:val="auto"/>
                <w:lang w:eastAsia="zh-CN"/>
              </w:rPr>
            </w:pPr>
            <w:r>
              <w:rPr>
                <w:rFonts w:hint="eastAsia"/>
                <w:color w:val="auto"/>
              </w:rPr>
              <w:t>防护区面积</w:t>
            </w:r>
          </w:p>
        </w:tc>
        <w:tc>
          <w:tcPr>
            <w:tcW w:w="748" w:type="pct"/>
          </w:tcPr>
          <w:p>
            <w:pPr>
              <w:pStyle w:val="17"/>
              <w:bidi w:val="0"/>
              <w:rPr>
                <w:color w:val="auto"/>
                <w:lang w:eastAsia="zh-CN"/>
              </w:rPr>
            </w:pPr>
            <w:r>
              <w:rPr>
                <w:rFonts w:hint="eastAsia"/>
                <w:color w:val="auto"/>
              </w:rPr>
              <w:t>净高</w:t>
            </w:r>
          </w:p>
        </w:tc>
        <w:tc>
          <w:tcPr>
            <w:tcW w:w="748" w:type="pct"/>
          </w:tcPr>
          <w:p>
            <w:pPr>
              <w:pStyle w:val="17"/>
              <w:bidi w:val="0"/>
              <w:rPr>
                <w:color w:val="auto"/>
                <w:lang w:eastAsia="zh-CN"/>
              </w:rPr>
            </w:pPr>
            <w:r>
              <w:rPr>
                <w:rFonts w:hint="eastAsia"/>
                <w:color w:val="auto"/>
              </w:rPr>
              <w:t>计算用量(</w:t>
            </w:r>
            <w:r>
              <w:rPr>
                <w:color w:val="auto"/>
              </w:rPr>
              <w:t>Kg)</w:t>
            </w:r>
          </w:p>
        </w:tc>
        <w:tc>
          <w:tcPr>
            <w:tcW w:w="827" w:type="pct"/>
          </w:tcPr>
          <w:p>
            <w:pPr>
              <w:pStyle w:val="17"/>
              <w:bidi w:val="0"/>
              <w:rPr>
                <w:color w:val="auto"/>
                <w:lang w:eastAsia="zh-CN"/>
              </w:rPr>
            </w:pPr>
            <w:r>
              <w:rPr>
                <w:rFonts w:hint="eastAsia"/>
                <w:color w:val="auto"/>
              </w:rPr>
              <w:t>实际用量(</w:t>
            </w:r>
            <w:r>
              <w:rPr>
                <w:color w:val="auto"/>
              </w:rPr>
              <w:t>Kg)</w:t>
            </w:r>
          </w:p>
        </w:tc>
        <w:tc>
          <w:tcPr>
            <w:tcW w:w="1070" w:type="pct"/>
          </w:tcPr>
          <w:p>
            <w:pPr>
              <w:pStyle w:val="17"/>
              <w:bidi w:val="0"/>
              <w:rPr>
                <w:color w:val="auto"/>
                <w:lang w:eastAsia="zh-CN"/>
              </w:rPr>
            </w:pPr>
            <w:r>
              <w:rPr>
                <w:rFonts w:hint="eastAsia"/>
                <w:color w:val="auto"/>
              </w:rPr>
              <w:t>泄压口面积（m</w:t>
            </w:r>
            <w:r>
              <w:rPr>
                <w:color w:val="auto"/>
              </w:rPr>
              <w:t>2</w:t>
            </w:r>
            <w:r>
              <w:rPr>
                <w:rFonts w:hint="eastAsia"/>
                <w:color w:val="auto"/>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5" w:hRule="atLeast"/>
        </w:trPr>
        <w:tc>
          <w:tcPr>
            <w:tcW w:w="713" w:type="pct"/>
          </w:tcPr>
          <w:p>
            <w:pPr>
              <w:pStyle w:val="17"/>
              <w:bidi w:val="0"/>
              <w:rPr>
                <w:color w:val="auto"/>
                <w:lang w:eastAsia="zh-CN"/>
              </w:rPr>
            </w:pPr>
            <w:r>
              <w:rPr>
                <w:rFonts w:hint="eastAsia"/>
                <w:color w:val="auto"/>
              </w:rPr>
              <w:t>配电房（设备房）</w:t>
            </w:r>
          </w:p>
        </w:tc>
        <w:tc>
          <w:tcPr>
            <w:tcW w:w="891" w:type="pct"/>
          </w:tcPr>
          <w:p>
            <w:pPr>
              <w:pStyle w:val="17"/>
              <w:bidi w:val="0"/>
              <w:rPr>
                <w:color w:val="auto"/>
                <w:lang w:eastAsia="zh-CN"/>
              </w:rPr>
            </w:pPr>
            <w:r>
              <w:rPr>
                <w:color w:val="auto"/>
              </w:rPr>
              <w:t>103</w:t>
            </w:r>
          </w:p>
        </w:tc>
        <w:tc>
          <w:tcPr>
            <w:tcW w:w="748" w:type="pct"/>
          </w:tcPr>
          <w:p>
            <w:pPr>
              <w:pStyle w:val="17"/>
              <w:bidi w:val="0"/>
              <w:rPr>
                <w:color w:val="auto"/>
                <w:lang w:eastAsia="zh-CN"/>
              </w:rPr>
            </w:pPr>
            <w:r>
              <w:rPr>
                <w:color w:val="auto"/>
              </w:rPr>
              <w:t>4.8</w:t>
            </w:r>
          </w:p>
        </w:tc>
        <w:tc>
          <w:tcPr>
            <w:tcW w:w="748" w:type="pct"/>
          </w:tcPr>
          <w:p>
            <w:pPr>
              <w:pStyle w:val="17"/>
              <w:bidi w:val="0"/>
              <w:rPr>
                <w:color w:val="auto"/>
                <w:lang w:eastAsia="zh-CN"/>
              </w:rPr>
            </w:pPr>
            <w:r>
              <w:rPr>
                <w:color w:val="auto"/>
              </w:rPr>
              <w:t>378</w:t>
            </w:r>
          </w:p>
        </w:tc>
        <w:tc>
          <w:tcPr>
            <w:tcW w:w="827" w:type="pct"/>
          </w:tcPr>
          <w:p>
            <w:pPr>
              <w:pStyle w:val="17"/>
              <w:bidi w:val="0"/>
              <w:rPr>
                <w:color w:val="auto"/>
                <w:lang w:eastAsia="zh-CN"/>
              </w:rPr>
            </w:pPr>
            <w:r>
              <w:rPr>
                <w:color w:val="auto"/>
              </w:rPr>
              <w:t>386</w:t>
            </w:r>
          </w:p>
        </w:tc>
        <w:tc>
          <w:tcPr>
            <w:tcW w:w="1070" w:type="pct"/>
          </w:tcPr>
          <w:p>
            <w:pPr>
              <w:pStyle w:val="17"/>
              <w:bidi w:val="0"/>
              <w:rPr>
                <w:color w:val="auto"/>
                <w:lang w:eastAsia="zh-CN"/>
              </w:rPr>
            </w:pPr>
            <w:r>
              <w:rPr>
                <w:rFonts w:hint="eastAsia"/>
                <w:color w:val="auto"/>
              </w:rPr>
              <w:t>0</w:t>
            </w:r>
            <w:r>
              <w:rPr>
                <w:color w:val="auto"/>
              </w:rPr>
              <w:t>.16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7" w:hRule="atLeast"/>
        </w:trPr>
        <w:tc>
          <w:tcPr>
            <w:tcW w:w="713" w:type="pct"/>
          </w:tcPr>
          <w:p>
            <w:pPr>
              <w:pStyle w:val="17"/>
              <w:bidi w:val="0"/>
              <w:rPr>
                <w:color w:val="auto"/>
                <w:lang w:eastAsia="zh-CN"/>
              </w:rPr>
            </w:pPr>
            <w:r>
              <w:rPr>
                <w:rFonts w:hint="eastAsia"/>
                <w:color w:val="auto"/>
              </w:rPr>
              <w:t>配电房（厂房）</w:t>
            </w:r>
          </w:p>
        </w:tc>
        <w:tc>
          <w:tcPr>
            <w:tcW w:w="891" w:type="pct"/>
            <w:vAlign w:val="center"/>
          </w:tcPr>
          <w:p>
            <w:pPr>
              <w:pStyle w:val="17"/>
              <w:bidi w:val="0"/>
              <w:rPr>
                <w:color w:val="auto"/>
              </w:rPr>
            </w:pPr>
            <w:r>
              <w:rPr>
                <w:color w:val="auto"/>
              </w:rPr>
              <w:t>46.2</w:t>
            </w:r>
          </w:p>
        </w:tc>
        <w:tc>
          <w:tcPr>
            <w:tcW w:w="748" w:type="pct"/>
          </w:tcPr>
          <w:p>
            <w:pPr>
              <w:pStyle w:val="17"/>
              <w:bidi w:val="0"/>
              <w:rPr>
                <w:color w:val="auto"/>
                <w:lang w:eastAsia="zh-CN"/>
              </w:rPr>
            </w:pPr>
            <w:r>
              <w:rPr>
                <w:color w:val="auto"/>
              </w:rPr>
              <w:t>7.8</w:t>
            </w:r>
          </w:p>
        </w:tc>
        <w:tc>
          <w:tcPr>
            <w:tcW w:w="748" w:type="pct"/>
          </w:tcPr>
          <w:p>
            <w:pPr>
              <w:pStyle w:val="17"/>
              <w:bidi w:val="0"/>
              <w:rPr>
                <w:color w:val="auto"/>
                <w:lang w:eastAsia="zh-CN"/>
              </w:rPr>
            </w:pPr>
            <w:r>
              <w:rPr>
                <w:color w:val="auto"/>
              </w:rPr>
              <w:t>275.29</w:t>
            </w:r>
          </w:p>
        </w:tc>
        <w:tc>
          <w:tcPr>
            <w:tcW w:w="827" w:type="pct"/>
          </w:tcPr>
          <w:p>
            <w:pPr>
              <w:pStyle w:val="17"/>
              <w:bidi w:val="0"/>
              <w:rPr>
                <w:color w:val="auto"/>
                <w:lang w:eastAsia="zh-CN"/>
              </w:rPr>
            </w:pPr>
            <w:r>
              <w:rPr>
                <w:rFonts w:hint="eastAsia"/>
                <w:color w:val="auto"/>
              </w:rPr>
              <w:t>2</w:t>
            </w:r>
            <w:r>
              <w:rPr>
                <w:color w:val="auto"/>
              </w:rPr>
              <w:t>80.8</w:t>
            </w:r>
          </w:p>
        </w:tc>
        <w:tc>
          <w:tcPr>
            <w:tcW w:w="1070" w:type="pct"/>
          </w:tcPr>
          <w:p>
            <w:pPr>
              <w:pStyle w:val="17"/>
              <w:bidi w:val="0"/>
              <w:rPr>
                <w:color w:val="auto"/>
                <w:lang w:eastAsia="zh-CN"/>
              </w:rPr>
            </w:pPr>
            <w:r>
              <w:rPr>
                <w:rFonts w:hint="eastAsia"/>
                <w:color w:val="auto"/>
              </w:rPr>
              <w:t>0</w:t>
            </w:r>
            <w:r>
              <w:rPr>
                <w:color w:val="auto"/>
              </w:rPr>
              <w:t>.12</w:t>
            </w:r>
          </w:p>
        </w:tc>
      </w:tr>
    </w:tbl>
    <w:p>
      <w:pPr>
        <w:bidi w:val="0"/>
        <w:rPr>
          <w:color w:val="auto"/>
        </w:rPr>
      </w:pPr>
      <w:r>
        <w:rPr>
          <w:color w:val="auto"/>
        </w:rPr>
        <w:t>3）防护区：</w:t>
      </w:r>
    </w:p>
    <w:p>
      <w:pPr>
        <w:bidi w:val="0"/>
        <w:rPr>
          <w:color w:val="auto"/>
        </w:rPr>
      </w:pPr>
      <w:r>
        <w:rPr>
          <w:color w:val="auto"/>
        </w:rPr>
        <w:t>（1）防护区的围护结构及门窗的耐火极限不低于0.5h，吊顶的耐火极限不低于0.25h；防护区的围护结构承受内压的允许压强不低于1200Pa。</w:t>
      </w:r>
    </w:p>
    <w:p>
      <w:pPr>
        <w:bidi w:val="0"/>
        <w:rPr>
          <w:color w:val="auto"/>
        </w:rPr>
      </w:pPr>
      <w:r>
        <w:rPr>
          <w:color w:val="auto"/>
        </w:rPr>
        <w:t>（2）防护区设置泄压口，泄压口位于防护区净高2/3以上。</w:t>
      </w:r>
    </w:p>
    <w:p>
      <w:pPr>
        <w:bidi w:val="0"/>
        <w:rPr>
          <w:color w:val="auto"/>
        </w:rPr>
      </w:pPr>
      <w:r>
        <w:rPr>
          <w:color w:val="auto"/>
        </w:rPr>
        <w:t>（3）喷放灭火剂前，除防护区内泄压口外的开口自行关闭。</w:t>
      </w:r>
    </w:p>
    <w:p>
      <w:pPr>
        <w:bidi w:val="0"/>
        <w:rPr>
          <w:color w:val="auto"/>
        </w:rPr>
      </w:pPr>
      <w:r>
        <w:rPr>
          <w:color w:val="auto"/>
        </w:rPr>
        <w:t>（4）防护区设通风装置，灭火后立即通风换气。</w:t>
      </w:r>
    </w:p>
    <w:p>
      <w:pPr>
        <w:bidi w:val="0"/>
        <w:rPr>
          <w:color w:val="auto"/>
        </w:rPr>
      </w:pPr>
      <w:r>
        <w:rPr>
          <w:color w:val="auto"/>
        </w:rPr>
        <w:t>4）系统控制：设有自动、手动两种启动方式，自动控制在接到两个（烟感、温感）独立的火灾信号后才能启动；在每个防护区疏散出口门外便于操作的地方设有自动控制和手动控制的转换装置，当人员进入防护区时，设定为手动控制，当人员离开时，设定为自动控制。</w:t>
      </w:r>
    </w:p>
    <w:p>
      <w:pPr>
        <w:pStyle w:val="3"/>
        <w:bidi w:val="0"/>
        <w:rPr>
          <w:rFonts w:hint="default"/>
          <w:color w:val="auto"/>
          <w:lang w:val="en-US" w:eastAsia="zh-CN"/>
        </w:rPr>
      </w:pPr>
      <w:r>
        <w:rPr>
          <w:rFonts w:hint="eastAsia"/>
          <w:color w:val="auto"/>
          <w:lang w:val="en-US" w:eastAsia="zh-CN"/>
        </w:rPr>
        <w:t>电气消防设计</w:t>
      </w:r>
    </w:p>
    <w:p>
      <w:pPr>
        <w:pStyle w:val="4"/>
        <w:bidi w:val="0"/>
        <w:rPr>
          <w:color w:val="auto"/>
          <w:lang w:val="en-US" w:eastAsia="zh-CN"/>
        </w:rPr>
      </w:pPr>
      <w:r>
        <w:rPr>
          <w:rFonts w:hint="eastAsia"/>
          <w:color w:val="auto"/>
          <w:lang w:val="en-US" w:eastAsia="zh-CN"/>
        </w:rPr>
        <w:t>消防应急照明系统</w:t>
      </w:r>
    </w:p>
    <w:p>
      <w:pPr>
        <w:bidi w:val="0"/>
        <w:rPr>
          <w:color w:val="auto"/>
        </w:rPr>
      </w:pPr>
      <w:r>
        <w:rPr>
          <w:rFonts w:hint="eastAsia"/>
          <w:color w:val="auto"/>
        </w:rPr>
        <w:t>本工程采用集中电源供电方式的集中电源非集中控制型的应急疏散照明系统。系统要求符合国家标准GB17945-2010《消防应急照明和疏散指示系统》的要求，并具备公安部的产品型式认可证书。</w:t>
      </w:r>
    </w:p>
    <w:p>
      <w:pPr>
        <w:pStyle w:val="4"/>
        <w:bidi w:val="0"/>
        <w:rPr>
          <w:rFonts w:hint="eastAsia"/>
          <w:color w:val="auto"/>
        </w:rPr>
      </w:pPr>
      <w:r>
        <w:rPr>
          <w:rFonts w:hint="eastAsia"/>
          <w:color w:val="auto"/>
        </w:rPr>
        <w:t>消防应急照明及疏散指示标志系统：</w:t>
      </w:r>
    </w:p>
    <w:p>
      <w:pPr>
        <w:bidi w:val="0"/>
        <w:rPr>
          <w:rFonts w:hint="eastAsia"/>
          <w:color w:val="auto"/>
        </w:rPr>
      </w:pPr>
      <w:r>
        <w:rPr>
          <w:rFonts w:hint="eastAsia"/>
          <w:color w:val="auto"/>
        </w:rPr>
        <w:t>1</w:t>
      </w:r>
      <w:r>
        <w:rPr>
          <w:rFonts w:hint="eastAsia"/>
          <w:color w:val="auto"/>
          <w:lang w:eastAsia="zh-CN"/>
        </w:rPr>
        <w:t>、</w:t>
      </w:r>
      <w:r>
        <w:rPr>
          <w:rFonts w:hint="eastAsia"/>
          <w:color w:val="auto"/>
        </w:rPr>
        <w:t>消防应急照明及疏散指示标志系统采用非集中控制型系统。</w:t>
      </w:r>
    </w:p>
    <w:p>
      <w:pPr>
        <w:bidi w:val="0"/>
        <w:rPr>
          <w:rFonts w:hint="eastAsia"/>
          <w:color w:val="auto"/>
        </w:rPr>
      </w:pPr>
      <w:r>
        <w:rPr>
          <w:rFonts w:hint="eastAsia"/>
          <w:color w:val="auto"/>
        </w:rPr>
        <w:t>2</w:t>
      </w:r>
      <w:r>
        <w:rPr>
          <w:rFonts w:hint="eastAsia"/>
          <w:color w:val="auto"/>
          <w:lang w:eastAsia="zh-CN"/>
        </w:rPr>
        <w:t>、</w:t>
      </w:r>
      <w:r>
        <w:rPr>
          <w:rFonts w:hint="eastAsia"/>
          <w:color w:val="auto"/>
        </w:rPr>
        <w:t>灯具采用应急照明集中电源供电，灯具主电源额定工作电压DC36V，A型应急照明集中电源的防护等级不低于IP33，应急照明集中电源引自总照明配电箱。</w:t>
      </w:r>
    </w:p>
    <w:p>
      <w:pPr>
        <w:bidi w:val="0"/>
        <w:rPr>
          <w:rFonts w:hint="eastAsia"/>
          <w:color w:val="auto"/>
        </w:rPr>
      </w:pPr>
      <w:r>
        <w:rPr>
          <w:rFonts w:hint="eastAsia"/>
          <w:color w:val="auto"/>
        </w:rPr>
        <w:t>3</w:t>
      </w:r>
      <w:r>
        <w:rPr>
          <w:rFonts w:hint="eastAsia"/>
          <w:color w:val="auto"/>
          <w:lang w:eastAsia="zh-CN"/>
        </w:rPr>
        <w:t>、</w:t>
      </w:r>
      <w:r>
        <w:rPr>
          <w:rFonts w:hint="eastAsia"/>
          <w:color w:val="auto"/>
        </w:rPr>
        <w:t>本项目疏散指示标志灯均选择大型标志灯。</w:t>
      </w:r>
    </w:p>
    <w:p>
      <w:pPr>
        <w:bidi w:val="0"/>
        <w:rPr>
          <w:rFonts w:hint="eastAsia"/>
          <w:color w:val="auto"/>
          <w:lang w:val="en-US" w:eastAsia="zh-CN"/>
        </w:rPr>
      </w:pPr>
      <w:r>
        <w:rPr>
          <w:rFonts w:hint="eastAsia"/>
          <w:color w:val="auto"/>
          <w:lang w:val="en-US" w:eastAsia="zh-CN"/>
        </w:rPr>
        <w:t>疏散照明的地面最低水平照度：建筑内疏散照明的地面最低水平照度应符合下列规定：</w:t>
      </w:r>
    </w:p>
    <w:p>
      <w:pPr>
        <w:bidi w:val="0"/>
        <w:rPr>
          <w:rFonts w:hint="eastAsia"/>
          <w:color w:val="auto"/>
          <w:lang w:val="en-US" w:eastAsia="zh-CN"/>
        </w:rPr>
      </w:pPr>
      <w:r>
        <w:rPr>
          <w:rFonts w:hint="eastAsia"/>
          <w:color w:val="auto"/>
          <w:lang w:val="en-US" w:eastAsia="zh-CN"/>
        </w:rPr>
        <w:t>1）疏散楼梯间、疏散楼梯间的前室或合用前室、避难走道及其前室、避难层、避难间、消防专用通道，不应低于10.0lx；</w:t>
      </w:r>
    </w:p>
    <w:p>
      <w:pPr>
        <w:bidi w:val="0"/>
        <w:rPr>
          <w:rFonts w:hint="eastAsia"/>
          <w:color w:val="auto"/>
          <w:lang w:val="en-US" w:eastAsia="zh-CN"/>
        </w:rPr>
      </w:pPr>
      <w:r>
        <w:rPr>
          <w:rFonts w:hint="eastAsia"/>
          <w:color w:val="auto"/>
          <w:lang w:val="en-US" w:eastAsia="zh-CN"/>
        </w:rPr>
        <w:t>2）疏散走道、人员密集的场所，不应低于3.0lx；</w:t>
      </w:r>
    </w:p>
    <w:p>
      <w:pPr>
        <w:bidi w:val="0"/>
        <w:rPr>
          <w:rFonts w:hint="eastAsia"/>
          <w:color w:val="auto"/>
          <w:lang w:val="en-US" w:eastAsia="zh-CN"/>
        </w:rPr>
      </w:pPr>
      <w:r>
        <w:rPr>
          <w:rFonts w:hint="eastAsia"/>
          <w:color w:val="auto"/>
          <w:lang w:val="en-US" w:eastAsia="zh-CN"/>
        </w:rPr>
        <w:t>3）本条上述规定场所外的其他场所，不应低于1.0lx。</w:t>
      </w:r>
    </w:p>
    <w:p>
      <w:pPr>
        <w:bidi w:val="0"/>
        <w:rPr>
          <w:rFonts w:hint="eastAsia"/>
          <w:color w:val="auto"/>
        </w:rPr>
      </w:pPr>
      <w:r>
        <w:rPr>
          <w:rFonts w:hint="eastAsia"/>
          <w:color w:val="auto"/>
        </w:rPr>
        <w:t>消防应急照明及疏散指示标志灯具采用A型消防应急灯具（LED光源），光源色温不低于2700K；疏散指示标志灯采用持续型灯具，消防应急照明灯采用非持续型灯具。设置在距地面1m及以下的疏散指示标志灯的面板或灯罩不应采用易碎材料或玻璃材质；在顶棚、疏散路径上方设置的灯具的面板或灯罩不应采用玻璃材质。</w:t>
      </w:r>
    </w:p>
    <w:p>
      <w:pPr>
        <w:bidi w:val="0"/>
        <w:rPr>
          <w:rFonts w:hint="eastAsia"/>
          <w:color w:val="auto"/>
        </w:rPr>
      </w:pPr>
      <w:r>
        <w:rPr>
          <w:rFonts w:hint="eastAsia"/>
          <w:color w:val="auto"/>
          <w:lang w:val="en-US" w:eastAsia="zh-CN"/>
        </w:rPr>
        <w:t>4、</w:t>
      </w:r>
      <w:r>
        <w:rPr>
          <w:rFonts w:hint="eastAsia"/>
          <w:color w:val="auto"/>
        </w:rPr>
        <w:t>应急照明集中电源的输入及输出回路不应装设剩余电流动作保护器，输出回路严禁接入系统以外的开关装置、插座及其他负载。</w:t>
      </w:r>
    </w:p>
    <w:p>
      <w:pPr>
        <w:bidi w:val="0"/>
        <w:rPr>
          <w:rFonts w:hint="eastAsia"/>
          <w:color w:val="auto"/>
        </w:rPr>
      </w:pPr>
      <w:r>
        <w:rPr>
          <w:rFonts w:hint="eastAsia"/>
          <w:color w:val="auto"/>
          <w:lang w:val="en-US" w:eastAsia="zh-CN"/>
        </w:rPr>
        <w:t>5、</w:t>
      </w:r>
      <w:r>
        <w:rPr>
          <w:rFonts w:hint="eastAsia"/>
          <w:color w:val="auto"/>
        </w:rPr>
        <w:t>非火灾状态下，系统的正常工作模式设计应符合下列规定:</w:t>
      </w:r>
    </w:p>
    <w:p>
      <w:pPr>
        <w:bidi w:val="0"/>
        <w:rPr>
          <w:rFonts w:hint="eastAsia"/>
          <w:color w:val="auto"/>
        </w:rPr>
      </w:pPr>
      <w:r>
        <w:rPr>
          <w:rFonts w:hint="eastAsia"/>
          <w:color w:val="auto"/>
        </w:rPr>
        <w:t>应保持主电源为灯具供电；系统内非持续型照明灯应保持熄灭状态；系统内持续型灯具的光源应保持节电点亮状态。系统主电源断电后，系统的设计应符合以下规定：</w:t>
      </w:r>
    </w:p>
    <w:p>
      <w:pPr>
        <w:bidi w:val="0"/>
        <w:rPr>
          <w:rFonts w:hint="eastAsia"/>
          <w:color w:val="auto"/>
        </w:rPr>
      </w:pPr>
      <w:r>
        <w:rPr>
          <w:rFonts w:hint="eastAsia"/>
          <w:color w:val="auto"/>
        </w:rPr>
        <w:t>集中电源连锁控制其配接的非持续型照明灯的光源应急点亮、持续型灯具的光源由节电点亮模式转入应急点亮模式；灯具持续应急点亮时间不超过0.5h；系统主电源恢复后，集中电源连锁其配接灯具的光源恢复原工作状态；灯具持续点亮时间达到0.5h，且系统主电源仍未恢复供电时，集中电源连锁其配接灯具的光源熄灭。</w:t>
      </w:r>
    </w:p>
    <w:p>
      <w:pPr>
        <w:bidi w:val="0"/>
        <w:rPr>
          <w:rFonts w:hint="eastAsia"/>
          <w:color w:val="auto"/>
        </w:rPr>
      </w:pPr>
      <w:r>
        <w:rPr>
          <w:rFonts w:hint="eastAsia"/>
          <w:color w:val="auto"/>
          <w:lang w:val="en-US" w:eastAsia="zh-CN"/>
        </w:rPr>
        <w:t>6、</w:t>
      </w:r>
      <w:r>
        <w:rPr>
          <w:rFonts w:hint="eastAsia"/>
          <w:color w:val="auto"/>
        </w:rPr>
        <w:t>火灾状态下，系统自动应急启动的设计应符合下列规定：火灾确认后，应能手动控制系统的应急启动，系统的手动应急启动的设计应符合下列规定：</w:t>
      </w:r>
    </w:p>
    <w:p>
      <w:pPr>
        <w:bidi w:val="0"/>
        <w:rPr>
          <w:rFonts w:hint="eastAsia"/>
          <w:color w:val="auto"/>
        </w:rPr>
      </w:pPr>
      <w:r>
        <w:rPr>
          <w:rFonts w:hint="eastAsia"/>
          <w:color w:val="auto"/>
        </w:rPr>
        <w:t>灯具采用集中电源供电时，应能手动操作集中电源，控制集中电源转入蓄电池电源输出，同时控制其配接的所有非持续型照明灯的光源应急点亮、持续型灯具的光源由节电点亮模式转入应急点亮模式，火灾时蓄电池电源供电时的持续工作时间不小于1h。</w:t>
      </w:r>
    </w:p>
    <w:p>
      <w:pPr>
        <w:bidi w:val="0"/>
        <w:rPr>
          <w:color w:val="auto"/>
        </w:rPr>
      </w:pPr>
      <w:r>
        <w:rPr>
          <w:rFonts w:hint="eastAsia"/>
          <w:color w:val="auto"/>
          <w:lang w:val="en-US" w:eastAsia="zh-CN"/>
        </w:rPr>
        <w:t>7、</w:t>
      </w:r>
      <w:r>
        <w:rPr>
          <w:rFonts w:hint="eastAsia"/>
          <w:color w:val="auto"/>
        </w:rPr>
        <w:t>集中电源蓄电池可持续点亮应急照明灯具时间应不小于非火灾状态下和火灾状态下持续点亮应急照明灯具时间之和；集中电源的蓄电池组达到使用寿命周期后标称的剩余容量应保证放电时间满足持续工作时间不小于非火灾状态下和火灾状态下持续点亮应急照明灯具时间之和。</w:t>
      </w:r>
    </w:p>
    <w:p>
      <w:pPr>
        <w:pStyle w:val="3"/>
        <w:bidi w:val="0"/>
        <w:rPr>
          <w:rFonts w:hint="default"/>
          <w:color w:val="auto"/>
          <w:lang w:val="en-US" w:eastAsia="zh-CN"/>
        </w:rPr>
      </w:pPr>
      <w:r>
        <w:rPr>
          <w:rFonts w:hint="eastAsia"/>
          <w:color w:val="auto"/>
          <w:lang w:val="en-US" w:eastAsia="zh-CN"/>
        </w:rPr>
        <w:t>防排烟消防设计</w:t>
      </w:r>
    </w:p>
    <w:p>
      <w:pPr>
        <w:pStyle w:val="4"/>
        <w:bidi w:val="0"/>
        <w:rPr>
          <w:rFonts w:hint="eastAsia"/>
          <w:color w:val="auto"/>
          <w:lang w:val="en-US" w:eastAsia="zh-CN"/>
        </w:rPr>
      </w:pPr>
      <w:r>
        <w:rPr>
          <w:rFonts w:hint="eastAsia"/>
          <w:color w:val="auto"/>
          <w:lang w:val="en-US" w:eastAsia="zh-CN"/>
        </w:rPr>
        <w:t>防烟系统设计</w:t>
      </w:r>
    </w:p>
    <w:p>
      <w:pPr>
        <w:bidi w:val="0"/>
        <w:rPr>
          <w:color w:val="auto"/>
        </w:rPr>
      </w:pPr>
      <w:r>
        <w:rPr>
          <w:rFonts w:hint="eastAsia"/>
          <w:color w:val="auto"/>
          <w:lang w:val="en-US" w:eastAsia="zh-CN"/>
        </w:rPr>
        <w:t>1</w:t>
      </w:r>
      <w:r>
        <w:rPr>
          <w:rFonts w:hint="eastAsia"/>
          <w:color w:val="auto"/>
        </w:rPr>
        <w:t>、</w:t>
      </w:r>
      <w:r>
        <w:rPr>
          <w:rFonts w:hint="eastAsia"/>
          <w:color w:val="auto"/>
          <w:lang w:val="en-US" w:eastAsia="zh-CN"/>
        </w:rPr>
        <w:t>本项目</w:t>
      </w:r>
      <w:r>
        <w:rPr>
          <w:rFonts w:hint="eastAsia"/>
          <w:color w:val="auto"/>
        </w:rPr>
        <w:t>封闭楼梯间</w:t>
      </w:r>
      <w:r>
        <w:rPr>
          <w:rFonts w:hint="eastAsia"/>
          <w:color w:val="auto"/>
          <w:lang w:val="en-US" w:eastAsia="zh-CN"/>
        </w:rPr>
        <w:t>采用</w:t>
      </w:r>
      <w:r>
        <w:rPr>
          <w:rFonts w:hint="eastAsia"/>
          <w:color w:val="auto"/>
        </w:rPr>
        <w:t>自然通风，在最高部位设置面积不小于1</w:t>
      </w:r>
      <w:r>
        <w:rPr>
          <w:rFonts w:hint="eastAsia"/>
          <w:color w:val="auto"/>
          <w:lang w:eastAsia="zh-CN"/>
        </w:rPr>
        <w:t>㎡</w:t>
      </w:r>
      <w:r>
        <w:rPr>
          <w:rFonts w:hint="eastAsia"/>
          <w:color w:val="auto"/>
        </w:rPr>
        <w:t>的可开启外窗；楼梯间的外墙上每5层内设置总面积不小于2</w:t>
      </w:r>
      <w:r>
        <w:rPr>
          <w:rFonts w:hint="eastAsia"/>
          <w:color w:val="auto"/>
          <w:lang w:eastAsia="zh-CN"/>
        </w:rPr>
        <w:t>㎡</w:t>
      </w:r>
      <w:r>
        <w:rPr>
          <w:rFonts w:hint="eastAsia"/>
          <w:color w:val="auto"/>
        </w:rPr>
        <w:t>的可开启外窗，且布置间隔不大于3层。</w:t>
      </w:r>
    </w:p>
    <w:p>
      <w:pPr>
        <w:bidi w:val="0"/>
        <w:rPr>
          <w:rFonts w:hint="eastAsia"/>
          <w:color w:val="auto"/>
        </w:rPr>
      </w:pPr>
      <w:r>
        <w:rPr>
          <w:rFonts w:hint="eastAsia"/>
          <w:color w:val="auto"/>
          <w:lang w:val="en-US" w:eastAsia="zh-CN"/>
        </w:rPr>
        <w:t>2</w:t>
      </w:r>
      <w:r>
        <w:rPr>
          <w:rFonts w:hint="eastAsia"/>
          <w:color w:val="auto"/>
        </w:rPr>
        <w:t>、设置在高处不便于直接开启的可开启外窗在距地1.5m的位置设置手动开启装置。</w:t>
      </w:r>
    </w:p>
    <w:p>
      <w:pPr>
        <w:pStyle w:val="4"/>
        <w:bidi w:val="0"/>
        <w:rPr>
          <w:rFonts w:hint="eastAsia"/>
          <w:color w:val="auto"/>
          <w:lang w:val="en-US" w:eastAsia="zh-CN"/>
        </w:rPr>
      </w:pPr>
      <w:r>
        <w:rPr>
          <w:rFonts w:hint="eastAsia"/>
          <w:color w:val="auto"/>
          <w:lang w:val="en-US" w:eastAsia="zh-CN"/>
        </w:rPr>
        <w:t>排烟系统设计</w:t>
      </w:r>
    </w:p>
    <w:p>
      <w:pPr>
        <w:bidi w:val="0"/>
        <w:rPr>
          <w:rFonts w:hint="eastAsia"/>
          <w:color w:val="auto"/>
          <w:spacing w:val="-20"/>
          <w:sz w:val="30"/>
        </w:rPr>
      </w:pPr>
      <w:r>
        <w:rPr>
          <w:rFonts w:hint="eastAsia"/>
          <w:color w:val="auto"/>
          <w:spacing w:val="-20"/>
          <w:sz w:val="30"/>
          <w:lang w:val="en-US" w:eastAsia="zh-CN"/>
        </w:rPr>
        <w:t>1、</w:t>
      </w:r>
      <w:r>
        <w:rPr>
          <w:rFonts w:hint="eastAsia"/>
          <w:color w:val="auto"/>
          <w:spacing w:val="-20"/>
          <w:sz w:val="30"/>
        </w:rPr>
        <w:t>地上50</w:t>
      </w:r>
      <w:r>
        <w:rPr>
          <w:rFonts w:hint="eastAsia"/>
          <w:color w:val="auto"/>
          <w:spacing w:val="-20"/>
          <w:sz w:val="30"/>
          <w:lang w:eastAsia="zh-CN"/>
        </w:rPr>
        <w:t>㎡</w:t>
      </w:r>
      <w:r>
        <w:rPr>
          <w:rFonts w:hint="eastAsia"/>
          <w:color w:val="auto"/>
          <w:spacing w:val="-20"/>
          <w:sz w:val="30"/>
        </w:rPr>
        <w:t>~100</w:t>
      </w:r>
      <w:r>
        <w:rPr>
          <w:rFonts w:hint="eastAsia"/>
          <w:color w:val="auto"/>
          <w:spacing w:val="-20"/>
          <w:sz w:val="30"/>
          <w:lang w:eastAsia="zh-CN"/>
        </w:rPr>
        <w:t>㎡</w:t>
      </w:r>
      <w:r>
        <w:rPr>
          <w:rFonts w:hint="eastAsia"/>
          <w:color w:val="auto"/>
          <w:spacing w:val="-20"/>
          <w:sz w:val="30"/>
        </w:rPr>
        <w:t>的房间应设置可开启外窗，具体开窗设置详建筑。</w:t>
      </w:r>
    </w:p>
    <w:p>
      <w:pPr>
        <w:bidi w:val="0"/>
        <w:rPr>
          <w:rFonts w:hint="eastAsia"/>
          <w:color w:val="auto"/>
        </w:rPr>
      </w:pPr>
      <w:r>
        <w:rPr>
          <w:rFonts w:hint="eastAsia"/>
          <w:color w:val="auto"/>
          <w:lang w:val="en-US" w:eastAsia="zh-CN"/>
        </w:rPr>
        <w:t>2、</w:t>
      </w:r>
      <w:r>
        <w:rPr>
          <w:rFonts w:hint="eastAsia"/>
          <w:color w:val="auto"/>
        </w:rPr>
        <w:t>地上大于100</w:t>
      </w:r>
      <w:r>
        <w:rPr>
          <w:rFonts w:hint="eastAsia"/>
          <w:color w:val="auto"/>
          <w:lang w:eastAsia="zh-CN"/>
        </w:rPr>
        <w:t>㎡</w:t>
      </w:r>
      <w:r>
        <w:rPr>
          <w:rFonts w:hint="eastAsia"/>
          <w:color w:val="auto"/>
        </w:rPr>
        <w:t>的房间采用自然排烟，储烟仓内设置有效排烟窗不小于房间面积的2%，具体开窗设置详建筑。</w:t>
      </w:r>
    </w:p>
    <w:p>
      <w:pPr>
        <w:bidi w:val="0"/>
        <w:rPr>
          <w:rFonts w:hint="eastAsia"/>
          <w:color w:val="auto"/>
        </w:rPr>
      </w:pPr>
      <w:r>
        <w:rPr>
          <w:rFonts w:hint="eastAsia"/>
          <w:color w:val="auto"/>
          <w:lang w:val="en-US" w:eastAsia="zh-CN"/>
        </w:rPr>
        <w:t>3、</w:t>
      </w:r>
      <w:r>
        <w:rPr>
          <w:rFonts w:hint="eastAsia"/>
          <w:color w:val="auto"/>
        </w:rPr>
        <w:t>地上走道采用自然排烟，走道两端在储烟仓内分别设置有效排烟窗不小于</w:t>
      </w:r>
      <w:r>
        <w:rPr>
          <w:rFonts w:hint="eastAsia"/>
          <w:color w:val="auto"/>
          <w:lang w:val="en-US" w:eastAsia="zh-CN"/>
        </w:rPr>
        <w:t>地面</w:t>
      </w:r>
      <w:r>
        <w:rPr>
          <w:rFonts w:hint="eastAsia"/>
          <w:color w:val="auto"/>
        </w:rPr>
        <w:t>面积的2%，具体开窗设置详建筑。</w:t>
      </w:r>
    </w:p>
    <w:p>
      <w:pPr>
        <w:bidi w:val="0"/>
        <w:rPr>
          <w:rFonts w:hint="eastAsia"/>
          <w:color w:val="auto"/>
        </w:rPr>
      </w:pPr>
      <w:r>
        <w:rPr>
          <w:rFonts w:hint="eastAsia"/>
          <w:color w:val="auto"/>
          <w:lang w:val="en-US" w:eastAsia="zh-CN"/>
        </w:rPr>
        <w:t>4、</w:t>
      </w:r>
      <w:r>
        <w:rPr>
          <w:rFonts w:hint="eastAsia"/>
          <w:color w:val="auto"/>
        </w:rPr>
        <w:t>排烟窗应设置于储烟仓内，且防烟分区内任一点到排烟窗的水平距离均小于30m，清晰高度应满足标准要求。设置于高位不便于直接开启的自然排烟窗，应在距地面高度1.5m处设置手动开启装置。</w:t>
      </w:r>
    </w:p>
    <w:p>
      <w:pPr>
        <w:bidi w:val="0"/>
        <w:rPr>
          <w:color w:val="auto"/>
        </w:rPr>
      </w:pPr>
      <w:r>
        <w:rPr>
          <w:rFonts w:hint="eastAsia"/>
          <w:color w:val="auto"/>
          <w:lang w:val="en-US" w:eastAsia="zh-CN"/>
        </w:rPr>
        <w:t>5、丁类车间面积不大于5000㎡，不需要设置排烟</w:t>
      </w:r>
      <w:r>
        <w:rPr>
          <w:rFonts w:hint="eastAsia"/>
          <w:color w:val="auto"/>
        </w:rPr>
        <w:t>。</w:t>
      </w:r>
    </w:p>
    <w:p>
      <w:pPr>
        <w:pStyle w:val="4"/>
        <w:bidi w:val="0"/>
        <w:rPr>
          <w:rFonts w:hint="eastAsia"/>
          <w:color w:val="auto"/>
          <w:lang w:val="en-US" w:eastAsia="zh-CN"/>
        </w:rPr>
      </w:pPr>
      <w:r>
        <w:rPr>
          <w:rFonts w:hint="eastAsia"/>
          <w:color w:val="auto"/>
          <w:lang w:val="en-US" w:eastAsia="zh-CN"/>
        </w:rPr>
        <w:t>补风系统</w:t>
      </w:r>
    </w:p>
    <w:p>
      <w:pPr>
        <w:bidi w:val="0"/>
        <w:rPr>
          <w:rFonts w:hint="eastAsia"/>
          <w:color w:val="auto"/>
        </w:rPr>
      </w:pPr>
      <w:r>
        <w:rPr>
          <w:rFonts w:hint="eastAsia"/>
          <w:color w:val="auto"/>
        </w:rPr>
        <w:t>除地上建筑的走道或建筑面积小于500</w:t>
      </w:r>
      <w:r>
        <w:rPr>
          <w:rFonts w:hint="eastAsia"/>
          <w:color w:val="auto"/>
          <w:lang w:eastAsia="zh-CN"/>
        </w:rPr>
        <w:t>㎡</w:t>
      </w:r>
      <w:r>
        <w:rPr>
          <w:rFonts w:hint="eastAsia"/>
          <w:color w:val="auto"/>
        </w:rPr>
        <w:t>的房间外，设置排烟系统的场所应设置补风系统。补风系统应直接从室外引入空气，且补风量不应小于排烟量的50%。</w:t>
      </w:r>
      <w:r>
        <w:rPr>
          <w:rFonts w:hint="eastAsia"/>
          <w:color w:val="auto"/>
          <w:lang w:val="en-US" w:eastAsia="zh-CN"/>
        </w:rPr>
        <w:t>本工程</w:t>
      </w:r>
      <w:r>
        <w:rPr>
          <w:rFonts w:hint="eastAsia"/>
          <w:color w:val="auto"/>
        </w:rPr>
        <w:t>各区域</w:t>
      </w:r>
      <w:r>
        <w:rPr>
          <w:rFonts w:hint="eastAsia"/>
          <w:color w:val="auto"/>
          <w:lang w:val="en-US" w:eastAsia="zh-CN"/>
        </w:rPr>
        <w:t>均</w:t>
      </w:r>
      <w:r>
        <w:rPr>
          <w:rFonts w:hint="eastAsia"/>
          <w:color w:val="auto"/>
        </w:rPr>
        <w:t>采用自然补风。</w:t>
      </w:r>
    </w:p>
    <w:p>
      <w:pPr>
        <w:pStyle w:val="4"/>
        <w:bidi w:val="0"/>
        <w:rPr>
          <w:rFonts w:hint="eastAsia"/>
          <w:color w:val="auto"/>
          <w:lang w:val="en-US" w:eastAsia="zh-CN"/>
        </w:rPr>
      </w:pPr>
      <w:r>
        <w:rPr>
          <w:rFonts w:hint="eastAsia"/>
          <w:color w:val="auto"/>
          <w:lang w:val="en-US" w:eastAsia="zh-CN"/>
        </w:rPr>
        <w:t>防排烟自动控制要求</w:t>
      </w:r>
    </w:p>
    <w:p>
      <w:pPr>
        <w:bidi w:val="0"/>
        <w:rPr>
          <w:rFonts w:hint="eastAsia"/>
          <w:color w:val="auto"/>
        </w:rPr>
      </w:pPr>
      <w:r>
        <w:rPr>
          <w:color w:val="auto"/>
        </w:rPr>
        <w:t>1</w:t>
      </w:r>
      <w:r>
        <w:rPr>
          <w:rFonts w:hint="eastAsia"/>
          <w:color w:val="auto"/>
        </w:rPr>
        <w:t>、消防用排烟风机和加压送风机，除了就地控制开、停外，均受消防中心控制，其工况在消防控制中心显示。</w:t>
      </w:r>
    </w:p>
    <w:p>
      <w:pPr>
        <w:bidi w:val="0"/>
        <w:rPr>
          <w:rFonts w:hint="eastAsia"/>
          <w:color w:val="auto"/>
        </w:rPr>
      </w:pPr>
      <w:r>
        <w:rPr>
          <w:color w:val="auto"/>
        </w:rPr>
        <w:t>2</w:t>
      </w:r>
      <w:r>
        <w:rPr>
          <w:rFonts w:hint="eastAsia"/>
          <w:color w:val="auto"/>
        </w:rPr>
        <w:t>、发生火灾时，由消防控制中心切断除消防用风机以外的所有通风空调系统电源。</w:t>
      </w:r>
    </w:p>
    <w:p>
      <w:pPr>
        <w:bidi w:val="0"/>
        <w:rPr>
          <w:rFonts w:hint="eastAsia"/>
          <w:color w:val="auto"/>
        </w:rPr>
      </w:pPr>
      <w:r>
        <w:rPr>
          <w:color w:val="auto"/>
        </w:rPr>
        <w:t>3</w:t>
      </w:r>
      <w:r>
        <w:rPr>
          <w:rFonts w:hint="eastAsia"/>
          <w:color w:val="auto"/>
        </w:rPr>
        <w:t>、加压送风机的启动应符合下列规定：</w:t>
      </w:r>
    </w:p>
    <w:p>
      <w:pPr>
        <w:bidi w:val="0"/>
        <w:rPr>
          <w:rFonts w:hint="eastAsia"/>
          <w:color w:val="auto"/>
        </w:rPr>
      </w:pPr>
      <w:r>
        <w:rPr>
          <w:rFonts w:hint="eastAsia"/>
          <w:color w:val="auto"/>
        </w:rPr>
        <w:t>（1）现场手动启动；</w:t>
      </w:r>
    </w:p>
    <w:p>
      <w:pPr>
        <w:bidi w:val="0"/>
        <w:rPr>
          <w:rFonts w:hint="eastAsia"/>
          <w:color w:val="auto"/>
        </w:rPr>
      </w:pPr>
      <w:r>
        <w:rPr>
          <w:rFonts w:hint="eastAsia"/>
          <w:color w:val="auto"/>
        </w:rPr>
        <w:t>（2）通过火灾自动报警系统自动启动；</w:t>
      </w:r>
    </w:p>
    <w:p>
      <w:pPr>
        <w:bidi w:val="0"/>
        <w:rPr>
          <w:rFonts w:hint="eastAsia"/>
          <w:color w:val="auto"/>
        </w:rPr>
      </w:pPr>
      <w:r>
        <w:rPr>
          <w:rFonts w:hint="eastAsia"/>
          <w:color w:val="auto"/>
        </w:rPr>
        <w:t>（3）消防控制室手动启动；</w:t>
      </w:r>
    </w:p>
    <w:p>
      <w:pPr>
        <w:bidi w:val="0"/>
        <w:rPr>
          <w:rFonts w:hint="eastAsia"/>
          <w:color w:val="auto"/>
          <w:spacing w:val="-20"/>
        </w:rPr>
      </w:pPr>
      <w:r>
        <w:rPr>
          <w:rFonts w:hint="eastAsia"/>
          <w:color w:val="auto"/>
          <w:spacing w:val="-20"/>
        </w:rPr>
        <w:t>（4）系统中任一常闭加压送风口开启时，加压风机应能自动启动。</w:t>
      </w:r>
    </w:p>
    <w:p>
      <w:pPr>
        <w:bidi w:val="0"/>
        <w:rPr>
          <w:rFonts w:hint="eastAsia"/>
          <w:color w:val="auto"/>
        </w:rPr>
      </w:pPr>
      <w:r>
        <w:rPr>
          <w:color w:val="auto"/>
        </w:rPr>
        <w:t>4</w:t>
      </w:r>
      <w:r>
        <w:rPr>
          <w:rFonts w:hint="eastAsia"/>
          <w:color w:val="auto"/>
        </w:rPr>
        <w:t>、当防火分区内火灾确认后，应能在15s内联动开启常闭加压送风口和加压送风机，并应符合下列规定：</w:t>
      </w:r>
    </w:p>
    <w:p>
      <w:pPr>
        <w:bidi w:val="0"/>
        <w:rPr>
          <w:rFonts w:hint="eastAsia"/>
          <w:color w:val="auto"/>
        </w:rPr>
      </w:pPr>
      <w:r>
        <w:rPr>
          <w:rFonts w:hint="eastAsia"/>
          <w:color w:val="auto"/>
        </w:rPr>
        <w:t>（1）应开启该防火分区楼梯间的全部加压送风机；</w:t>
      </w:r>
    </w:p>
    <w:p>
      <w:pPr>
        <w:bidi w:val="0"/>
        <w:rPr>
          <w:color w:val="auto"/>
        </w:rPr>
      </w:pPr>
      <w:r>
        <w:rPr>
          <w:rFonts w:hint="eastAsia"/>
          <w:color w:val="auto"/>
        </w:rPr>
        <w:t>（2）应开启该防火分区内着火层及其相邻上下层前室及合用前室的常闭送风口，同时开启加压送风机。</w:t>
      </w:r>
    </w:p>
    <w:p>
      <w:pPr>
        <w:bidi w:val="0"/>
        <w:rPr>
          <w:rFonts w:hint="eastAsia"/>
          <w:color w:val="auto"/>
        </w:rPr>
      </w:pPr>
      <w:r>
        <w:rPr>
          <w:color w:val="auto"/>
        </w:rPr>
        <w:t>5</w:t>
      </w:r>
      <w:r>
        <w:rPr>
          <w:rFonts w:hint="eastAsia"/>
          <w:color w:val="auto"/>
        </w:rPr>
        <w:t>、机械加压送风系统应设置测压装置及风压调节措施。正压送风系统楼梯间余压值为50Pa，合用前室余压值为25Pa，在楼梯间的适当位置设置压力传感器，控制加压送风机出口处的旁通泄压阀，调整楼梯间的余压值。在每层前室设置压力传感器，控制加压送风机出口处的旁通泄压阀，调整前室的余压值。</w:t>
      </w:r>
    </w:p>
    <w:p>
      <w:pPr>
        <w:bidi w:val="0"/>
        <w:rPr>
          <w:rFonts w:hint="eastAsia"/>
          <w:color w:val="auto"/>
        </w:rPr>
      </w:pPr>
      <w:r>
        <w:rPr>
          <w:color w:val="auto"/>
        </w:rPr>
        <w:t>6</w:t>
      </w:r>
      <w:r>
        <w:rPr>
          <w:rFonts w:hint="eastAsia"/>
          <w:color w:val="auto"/>
        </w:rPr>
        <w:t>、排烟风机、补风机的控制方式应符合下列规定：</w:t>
      </w:r>
    </w:p>
    <w:p>
      <w:pPr>
        <w:bidi w:val="0"/>
        <w:rPr>
          <w:rFonts w:hint="eastAsia"/>
          <w:color w:val="auto"/>
        </w:rPr>
      </w:pPr>
      <w:r>
        <w:rPr>
          <w:rFonts w:hint="eastAsia"/>
          <w:color w:val="auto"/>
        </w:rPr>
        <w:t>（1）现场手动启动；</w:t>
      </w:r>
    </w:p>
    <w:p>
      <w:pPr>
        <w:bidi w:val="0"/>
        <w:rPr>
          <w:rFonts w:hint="eastAsia"/>
          <w:color w:val="auto"/>
        </w:rPr>
      </w:pPr>
      <w:r>
        <w:rPr>
          <w:rFonts w:hint="eastAsia"/>
          <w:color w:val="auto"/>
        </w:rPr>
        <w:t>（2）火灾自动报警系统自动启动；</w:t>
      </w:r>
    </w:p>
    <w:p>
      <w:pPr>
        <w:bidi w:val="0"/>
        <w:rPr>
          <w:rFonts w:hint="eastAsia"/>
          <w:color w:val="auto"/>
        </w:rPr>
      </w:pPr>
      <w:r>
        <w:rPr>
          <w:rFonts w:hint="eastAsia"/>
          <w:color w:val="auto"/>
        </w:rPr>
        <w:t>（3）消防控制室手动启动；</w:t>
      </w:r>
    </w:p>
    <w:p>
      <w:pPr>
        <w:bidi w:val="0"/>
        <w:rPr>
          <w:rFonts w:hint="eastAsia"/>
          <w:color w:val="auto"/>
          <w:spacing w:val="-20"/>
          <w:sz w:val="30"/>
        </w:rPr>
      </w:pPr>
      <w:r>
        <w:rPr>
          <w:rFonts w:hint="eastAsia"/>
          <w:color w:val="auto"/>
          <w:spacing w:val="-20"/>
          <w:sz w:val="30"/>
        </w:rPr>
        <w:t>（4）系统中任一排烟阀或排烟口开启时，排烟风机、补风机自动启动；</w:t>
      </w:r>
    </w:p>
    <w:p>
      <w:pPr>
        <w:bidi w:val="0"/>
        <w:rPr>
          <w:rFonts w:hint="eastAsia"/>
          <w:color w:val="auto"/>
        </w:rPr>
      </w:pPr>
      <w:r>
        <w:rPr>
          <w:rFonts w:hint="eastAsia"/>
          <w:color w:val="auto"/>
        </w:rPr>
        <w:t>（5）排烟防火阀在280℃时应自行关闭，并应连锁关闭排烟风机和补风机。</w:t>
      </w:r>
    </w:p>
    <w:p>
      <w:pPr>
        <w:bidi w:val="0"/>
        <w:rPr>
          <w:color w:val="auto"/>
        </w:rPr>
      </w:pPr>
      <w:r>
        <w:rPr>
          <w:color w:val="auto"/>
        </w:rPr>
        <w:t>7</w:t>
      </w:r>
      <w:r>
        <w:rPr>
          <w:rFonts w:hint="eastAsia"/>
          <w:color w:val="auto"/>
        </w:rPr>
        <w:t>、当火灾确认后，担负两个及以上防烟分区的排烟系统，应仅打开着火防烟分区的排烟阀或排烟口，其它防烟分区的排烟阀或排烟口应呈关闭状态。</w:t>
      </w:r>
    </w:p>
    <w:p>
      <w:pPr>
        <w:bidi w:val="0"/>
        <w:rPr>
          <w:color w:val="auto"/>
        </w:rPr>
      </w:pPr>
      <w:r>
        <w:rPr>
          <w:rFonts w:hint="eastAsia"/>
          <w:color w:val="auto"/>
        </w:rPr>
        <w:t>8、机械排烟系统中常闭排烟阀或排烟口应具有火灾自动报警系统自动开启、消防控制室手动开启和现场手动开启功能，其开启信号应与排烟风机联动。当火灾确认后，火灾自动报警系统应在15s内联动开启相应防烟分区的全部排烟阀、排烟口、排烟风机和补风机，并应在30s内自动关闭与排烟无关的通风、空调系统。</w:t>
      </w:r>
    </w:p>
    <w:p>
      <w:pPr>
        <w:bidi w:val="0"/>
        <w:rPr>
          <w:color w:val="auto"/>
        </w:rPr>
      </w:pPr>
      <w:r>
        <w:rPr>
          <w:color w:val="auto"/>
        </w:rPr>
        <w:t>9</w:t>
      </w:r>
      <w:r>
        <w:rPr>
          <w:rFonts w:hint="eastAsia"/>
          <w:color w:val="auto"/>
        </w:rPr>
        <w:t>、活动挡烟垂壁应具有火灾自动报警系统自动启动和现场手动启动功能，当火灾确认后，火灾自动报警系统应在15s内联动相应防烟分区的全部活动挡烟垂壁，60s以内挡烟垂壁应开启到位。</w:t>
      </w:r>
    </w:p>
    <w:p>
      <w:pPr>
        <w:bidi w:val="0"/>
        <w:rPr>
          <w:color w:val="auto"/>
        </w:rPr>
      </w:pPr>
      <w:r>
        <w:rPr>
          <w:color w:val="auto"/>
        </w:rPr>
        <w:t>10</w:t>
      </w:r>
      <w:r>
        <w:rPr>
          <w:rFonts w:hint="eastAsia"/>
          <w:color w:val="auto"/>
        </w:rPr>
        <w:t>、自动排烟窗可采用与火灾自动报警系统联动和温度释放装置联动的控制方式。当采用与火灾自动报警系统自动启动时，自动排烟窗应在60s内或小于烟气充满储烟仓时间内开启完毕。带有温控功能自动排烟窗，其温控释放温度应大于环境温度30℃且小于100℃。</w:t>
      </w:r>
    </w:p>
    <w:p>
      <w:pPr>
        <w:bidi w:val="0"/>
        <w:rPr>
          <w:rFonts w:hint="eastAsia"/>
          <w:color w:val="auto"/>
        </w:rPr>
      </w:pPr>
      <w:r>
        <w:rPr>
          <w:rFonts w:hint="eastAsia"/>
          <w:color w:val="auto"/>
        </w:rPr>
        <w:t>1</w:t>
      </w:r>
      <w:r>
        <w:rPr>
          <w:color w:val="auto"/>
        </w:rPr>
        <w:t>1</w:t>
      </w:r>
      <w:r>
        <w:rPr>
          <w:rFonts w:hint="eastAsia"/>
          <w:color w:val="auto"/>
        </w:rPr>
        <w:t>、用于气体灭火后排除有害气体的通风系统，在发生火灾时70℃电动防火阀关闭，停止风机运转。待确认火灾扑灭后，打开房间的70℃电动防火阀，同时联动风机启动，排除房间内有害气体。</w:t>
      </w:r>
    </w:p>
    <w:p>
      <w:pPr>
        <w:bidi w:val="0"/>
        <w:rPr>
          <w:rFonts w:hint="eastAsia"/>
          <w:color w:val="auto"/>
        </w:rPr>
      </w:pPr>
      <w:r>
        <w:rPr>
          <w:color w:val="auto"/>
        </w:rPr>
        <w:t>12</w:t>
      </w:r>
      <w:r>
        <w:rPr>
          <w:rFonts w:hint="eastAsia"/>
          <w:color w:val="auto"/>
        </w:rPr>
        <w:t>、常闭加压送风口、排烟阀或排烟口、活动挡烟垂壁、排烟窗等均应在距地1.5m处设置手动开启装置。</w:t>
      </w:r>
    </w:p>
    <w:p>
      <w:pPr>
        <w:pStyle w:val="4"/>
        <w:bidi w:val="0"/>
        <w:rPr>
          <w:rFonts w:hint="eastAsia"/>
          <w:color w:val="auto"/>
          <w:lang w:val="en-US" w:eastAsia="zh-CN"/>
        </w:rPr>
      </w:pPr>
      <w:r>
        <w:rPr>
          <w:rFonts w:hint="eastAsia"/>
          <w:color w:val="auto"/>
          <w:lang w:val="en-US" w:eastAsia="zh-CN"/>
        </w:rPr>
        <w:t>防火、防爆设计</w:t>
      </w:r>
    </w:p>
    <w:p>
      <w:pPr>
        <w:bidi w:val="0"/>
        <w:rPr>
          <w:rFonts w:hint="eastAsia"/>
          <w:color w:val="auto"/>
        </w:rPr>
      </w:pPr>
      <w:r>
        <w:rPr>
          <w:rFonts w:hint="eastAsia"/>
          <w:color w:val="auto"/>
        </w:rPr>
        <w:t>1、所有通风排烟管材及附件均采用不燃材料制作。</w:t>
      </w:r>
    </w:p>
    <w:p>
      <w:pPr>
        <w:bidi w:val="0"/>
        <w:rPr>
          <w:rFonts w:hint="eastAsia"/>
          <w:color w:val="auto"/>
        </w:rPr>
      </w:pPr>
      <w:r>
        <w:rPr>
          <w:rFonts w:hint="eastAsia"/>
          <w:color w:val="auto"/>
        </w:rPr>
        <w:t>2、下列情况之一的通风空调系统风管上应设置防火阀：</w:t>
      </w:r>
    </w:p>
    <w:p>
      <w:pPr>
        <w:bidi w:val="0"/>
        <w:rPr>
          <w:rFonts w:hint="eastAsia"/>
          <w:color w:val="auto"/>
        </w:rPr>
      </w:pPr>
      <w:r>
        <w:rPr>
          <w:rFonts w:hint="eastAsia"/>
          <w:color w:val="auto"/>
        </w:rPr>
        <w:t>1）穿越防火分区处；</w:t>
      </w:r>
    </w:p>
    <w:p>
      <w:pPr>
        <w:bidi w:val="0"/>
        <w:rPr>
          <w:rFonts w:hint="eastAsia"/>
          <w:color w:val="auto"/>
        </w:rPr>
      </w:pPr>
      <w:r>
        <w:rPr>
          <w:rFonts w:hint="eastAsia"/>
          <w:color w:val="auto"/>
        </w:rPr>
        <w:t>2）穿越通风、空调机房的房间隔墙和楼板处；</w:t>
      </w:r>
    </w:p>
    <w:p>
      <w:pPr>
        <w:bidi w:val="0"/>
        <w:rPr>
          <w:rFonts w:hint="eastAsia"/>
          <w:color w:val="auto"/>
        </w:rPr>
      </w:pPr>
      <w:r>
        <w:rPr>
          <w:rFonts w:hint="eastAsia"/>
          <w:color w:val="auto"/>
        </w:rPr>
        <w:t>3）穿越重要的或火灾危险性大的房间隔墙和楼板处；</w:t>
      </w:r>
    </w:p>
    <w:p>
      <w:pPr>
        <w:bidi w:val="0"/>
        <w:rPr>
          <w:rFonts w:hint="eastAsia"/>
          <w:color w:val="auto"/>
        </w:rPr>
      </w:pPr>
      <w:r>
        <w:rPr>
          <w:rFonts w:hint="eastAsia"/>
          <w:color w:val="auto"/>
        </w:rPr>
        <w:t>4）穿越防火分隔处的变形缝两侧；</w:t>
      </w:r>
    </w:p>
    <w:p>
      <w:pPr>
        <w:bidi w:val="0"/>
        <w:rPr>
          <w:rFonts w:hint="eastAsia"/>
          <w:color w:val="auto"/>
        </w:rPr>
      </w:pPr>
      <w:r>
        <w:rPr>
          <w:rFonts w:hint="eastAsia"/>
          <w:color w:val="auto"/>
        </w:rPr>
        <w:t>5）垂直风管与每层水平风管交接处的水平管段上，但当建筑内每个防火分区的通风空调系统均独立设置时，该防火分区内的水平风管与垂直总管的交接处可不设防火阀。</w:t>
      </w:r>
    </w:p>
    <w:p>
      <w:pPr>
        <w:bidi w:val="0"/>
        <w:rPr>
          <w:rFonts w:hint="eastAsia"/>
          <w:color w:val="auto"/>
        </w:rPr>
      </w:pPr>
      <w:r>
        <w:rPr>
          <w:rFonts w:hint="eastAsia"/>
          <w:color w:val="auto"/>
        </w:rPr>
        <w:t>3、防排烟、通风和空气调节系统中的管道，在穿越防火隔墙、楼板和防火墙处的孔隙应采用防火封堵材料封堵。风管穿过防火隔墙、楼板和防火墙时，穿越处风管上的防火阀、排烟防火阀两侧各2.0m范围内的风管应采用耐火风管或风管外壁应采取防火保护措施，且耐火极限不应低于该防火分隔体的耐火极限。</w:t>
      </w:r>
    </w:p>
    <w:p>
      <w:pPr>
        <w:bidi w:val="0"/>
        <w:rPr>
          <w:rFonts w:hint="eastAsia"/>
          <w:color w:val="auto"/>
        </w:rPr>
      </w:pPr>
      <w:r>
        <w:rPr>
          <w:rFonts w:hint="eastAsia"/>
          <w:color w:val="auto"/>
        </w:rPr>
        <w:t>4、防火阀应靠近防火分隔处设置，暗装时在安装部位设置方便维护的检修口。在防火阀两侧各2.0m范围内的风管及其绝热材料应采用不燃材料。</w:t>
      </w:r>
    </w:p>
    <w:p>
      <w:pPr>
        <w:bidi w:val="0"/>
        <w:rPr>
          <w:color w:val="auto"/>
        </w:rPr>
      </w:pPr>
      <w:r>
        <w:rPr>
          <w:color w:val="auto"/>
        </w:rPr>
        <w:t>5</w:t>
      </w:r>
      <w:r>
        <w:rPr>
          <w:rFonts w:hint="eastAsia"/>
          <w:color w:val="auto"/>
        </w:rPr>
        <w:t>、设置在吊顶内的排烟管，应采用不小于50mm厚的不燃烧材料进行隔热，或与可燃物、难燃物保持不小于150mm的距离。</w:t>
      </w:r>
    </w:p>
    <w:p>
      <w:pPr>
        <w:bidi w:val="0"/>
        <w:rPr>
          <w:rFonts w:hint="eastAsia"/>
          <w:color w:val="auto"/>
        </w:rPr>
      </w:pPr>
      <w:r>
        <w:rPr>
          <w:color w:val="auto"/>
        </w:rPr>
        <w:t>6</w:t>
      </w:r>
      <w:r>
        <w:rPr>
          <w:rFonts w:hint="eastAsia"/>
          <w:color w:val="auto"/>
        </w:rPr>
        <w:t>、排烟管道下列部位应设置排烟防火阀：</w:t>
      </w:r>
    </w:p>
    <w:p>
      <w:pPr>
        <w:bidi w:val="0"/>
        <w:rPr>
          <w:rFonts w:hint="eastAsia"/>
          <w:color w:val="auto"/>
        </w:rPr>
      </w:pPr>
      <w:r>
        <w:rPr>
          <w:rFonts w:hint="eastAsia"/>
          <w:color w:val="auto"/>
        </w:rPr>
        <w:t>1）、垂直风管与每层水平风管交接处的水平管段上；</w:t>
      </w:r>
    </w:p>
    <w:p>
      <w:pPr>
        <w:bidi w:val="0"/>
        <w:rPr>
          <w:rFonts w:hint="eastAsia"/>
          <w:color w:val="auto"/>
        </w:rPr>
      </w:pPr>
      <w:r>
        <w:rPr>
          <w:rFonts w:hint="eastAsia"/>
          <w:color w:val="auto"/>
        </w:rPr>
        <w:t>2）、一个排烟系统担负多个防烟分区的排烟支管上；</w:t>
      </w:r>
    </w:p>
    <w:p>
      <w:pPr>
        <w:bidi w:val="0"/>
        <w:rPr>
          <w:rFonts w:hint="eastAsia"/>
          <w:color w:val="auto"/>
        </w:rPr>
      </w:pPr>
      <w:r>
        <w:rPr>
          <w:rFonts w:hint="eastAsia"/>
          <w:color w:val="auto"/>
        </w:rPr>
        <w:t>3）、排烟风机入口处；</w:t>
      </w:r>
    </w:p>
    <w:p>
      <w:pPr>
        <w:bidi w:val="0"/>
        <w:rPr>
          <w:rFonts w:hint="eastAsia"/>
          <w:color w:val="auto"/>
        </w:rPr>
      </w:pPr>
      <w:r>
        <w:rPr>
          <w:rFonts w:hint="eastAsia"/>
          <w:color w:val="auto"/>
        </w:rPr>
        <w:t>4）、穿越防火分区处。</w:t>
      </w:r>
    </w:p>
    <w:p>
      <w:pPr>
        <w:bidi w:val="0"/>
        <w:rPr>
          <w:rFonts w:hint="eastAsia"/>
          <w:color w:val="auto"/>
        </w:rPr>
      </w:pPr>
      <w:r>
        <w:rPr>
          <w:rFonts w:hint="eastAsia"/>
          <w:color w:val="auto"/>
        </w:rPr>
        <w:t>7、防排烟系统风管的耐火极限应满足下表要求。当金属风管不能满足耐火极限时，应采取防火包覆措施。防火包覆措施详见国标图集《防排烟系统设备及附件选用及安装》（</w:t>
      </w:r>
      <w:r>
        <w:rPr>
          <w:color w:val="auto"/>
        </w:rPr>
        <w:t>07K103-2</w:t>
      </w:r>
      <w:r>
        <w:rPr>
          <w:rFonts w:hint="eastAsia"/>
          <w:color w:val="auto"/>
        </w:rPr>
        <w:t>）中</w:t>
      </w:r>
      <w:r>
        <w:rPr>
          <w:color w:val="auto"/>
        </w:rPr>
        <w:t>“</w:t>
      </w:r>
      <w:r>
        <w:rPr>
          <w:rFonts w:hint="eastAsia"/>
          <w:color w:val="auto"/>
        </w:rPr>
        <w:t>防火风管说明</w:t>
      </w:r>
      <w:r>
        <w:rPr>
          <w:color w:val="auto"/>
        </w:rPr>
        <w:t>”</w:t>
      </w:r>
      <w:r>
        <w:rPr>
          <w:rFonts w:hint="eastAsia"/>
          <w:color w:val="auto"/>
        </w:rPr>
        <w:t>章节。</w:t>
      </w:r>
    </w:p>
    <w:p>
      <w:pPr>
        <w:pStyle w:val="17"/>
        <w:bidi w:val="0"/>
        <w:rPr>
          <w:rFonts w:hint="eastAsia"/>
          <w:color w:val="auto"/>
          <w:lang w:val="en-US" w:eastAsia="zh-CN"/>
        </w:rPr>
      </w:pPr>
      <w:r>
        <w:rPr>
          <w:color w:val="auto"/>
          <w:lang w:val="en-US" w:eastAsia="zh-CN"/>
        </w:rPr>
        <w:drawing>
          <wp:inline distT="0" distB="0" distL="114300" distR="114300">
            <wp:extent cx="4437380" cy="2038350"/>
            <wp:effectExtent l="0" t="0" r="127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4437380" cy="2038350"/>
                    </a:xfrm>
                    <a:prstGeom prst="rect">
                      <a:avLst/>
                    </a:prstGeom>
                    <a:noFill/>
                    <a:ln>
                      <a:noFill/>
                    </a:ln>
                  </pic:spPr>
                </pic:pic>
              </a:graphicData>
            </a:graphic>
          </wp:inline>
        </w:drawing>
      </w:r>
    </w:p>
    <w:p>
      <w:pPr>
        <w:bidi w:val="0"/>
        <w:rPr>
          <w:rFonts w:hint="eastAsia"/>
          <w:color w:val="auto"/>
        </w:rPr>
      </w:pPr>
      <w:r>
        <w:rPr>
          <w:rFonts w:hint="eastAsia"/>
          <w:color w:val="auto"/>
        </w:rPr>
        <w:t>注：1）竖向设置的加压送风管道独立设置在管道井内，无耐火极限要求。</w:t>
      </w:r>
    </w:p>
    <w:p>
      <w:pPr>
        <w:bidi w:val="0"/>
        <w:rPr>
          <w:rFonts w:hint="eastAsia"/>
          <w:color w:val="auto"/>
        </w:rPr>
      </w:pPr>
      <w:r>
        <w:rPr>
          <w:rFonts w:hint="eastAsia"/>
          <w:color w:val="auto"/>
        </w:rPr>
        <w:t>2）防排烟风管本体、框架与固定材料、密封垫料等必须采用不燃材料，耐火极限时间应符合系统防火设计的规定。</w:t>
      </w:r>
    </w:p>
    <w:p>
      <w:pPr>
        <w:bidi w:val="0"/>
        <w:rPr>
          <w:rFonts w:hint="eastAsia"/>
          <w:color w:val="auto"/>
        </w:rPr>
      </w:pPr>
      <w:r>
        <w:rPr>
          <w:color w:val="auto"/>
        </w:rPr>
        <w:t>7</w:t>
      </w:r>
      <w:r>
        <w:rPr>
          <w:rFonts w:hint="eastAsia"/>
          <w:color w:val="auto"/>
        </w:rPr>
        <w:t>、经过有爆炸危险和变电、配电场所的管网，以及布设在以上场所的金属箱体等，应设防静电接地。</w:t>
      </w:r>
    </w:p>
    <w:p>
      <w:pPr>
        <w:pStyle w:val="2"/>
        <w:bidi w:val="0"/>
        <w:rPr>
          <w:rFonts w:hint="default"/>
          <w:lang w:val="en-US" w:eastAsia="zh-CN"/>
        </w:rPr>
      </w:pPr>
      <w:r>
        <w:rPr>
          <w:rFonts w:hint="eastAsia"/>
          <w:lang w:val="en-US" w:eastAsia="zh-CN"/>
        </w:rPr>
        <w:t>节能设计说明</w:t>
      </w:r>
    </w:p>
    <w:p>
      <w:pPr>
        <w:pStyle w:val="3"/>
        <w:bidi w:val="0"/>
        <w:rPr>
          <w:rFonts w:hint="default"/>
          <w:color w:val="auto"/>
          <w:lang w:val="en-US" w:eastAsia="zh-CN"/>
        </w:rPr>
      </w:pPr>
      <w:r>
        <w:rPr>
          <w:rFonts w:hint="eastAsia"/>
          <w:color w:val="auto"/>
          <w:lang w:val="en-US" w:eastAsia="zh-CN"/>
        </w:rPr>
        <w:t>设计依据</w:t>
      </w:r>
    </w:p>
    <w:p>
      <w:pPr>
        <w:pStyle w:val="4"/>
        <w:bidi w:val="0"/>
        <w:rPr>
          <w:rFonts w:hint="default"/>
          <w:color w:val="auto"/>
          <w:lang w:val="en-US" w:eastAsia="zh-CN"/>
        </w:rPr>
      </w:pPr>
      <w:r>
        <w:rPr>
          <w:rFonts w:hint="default"/>
          <w:color w:val="auto"/>
          <w:lang w:val="en-US" w:eastAsia="zh-CN"/>
        </w:rPr>
        <w:t>节能法规</w:t>
      </w:r>
    </w:p>
    <w:p>
      <w:pPr>
        <w:bidi w:val="0"/>
        <w:rPr>
          <w:rFonts w:hint="default"/>
          <w:color w:val="auto"/>
          <w:lang w:val="en-US" w:eastAsia="zh-CN"/>
        </w:rPr>
      </w:pPr>
      <w:r>
        <w:rPr>
          <w:rFonts w:hint="default"/>
          <w:color w:val="auto"/>
          <w:lang w:val="en-US" w:eastAsia="zh-CN"/>
        </w:rPr>
        <w:t>1、《中华人民共和国节建筑法》。</w:t>
      </w:r>
    </w:p>
    <w:p>
      <w:pPr>
        <w:bidi w:val="0"/>
        <w:rPr>
          <w:rFonts w:hint="default"/>
          <w:color w:val="auto"/>
          <w:lang w:val="en-US" w:eastAsia="zh-CN"/>
        </w:rPr>
      </w:pPr>
      <w:r>
        <w:rPr>
          <w:rFonts w:hint="default"/>
          <w:color w:val="auto"/>
          <w:lang w:val="en-US" w:eastAsia="zh-CN"/>
        </w:rPr>
        <w:t>2、《中华人民共和国节能减排法》。</w:t>
      </w:r>
    </w:p>
    <w:p>
      <w:pPr>
        <w:pStyle w:val="4"/>
        <w:bidi w:val="0"/>
        <w:rPr>
          <w:rFonts w:hint="default"/>
          <w:color w:val="auto"/>
          <w:lang w:val="en-US" w:eastAsia="zh-CN"/>
        </w:rPr>
      </w:pPr>
      <w:r>
        <w:rPr>
          <w:rFonts w:hint="default"/>
          <w:color w:val="auto"/>
          <w:lang w:val="en-US" w:eastAsia="zh-CN"/>
        </w:rPr>
        <w:t>节能规范</w:t>
      </w:r>
    </w:p>
    <w:p>
      <w:pPr>
        <w:bidi w:val="0"/>
        <w:rPr>
          <w:rFonts w:hint="default"/>
          <w:color w:val="auto"/>
          <w:lang w:val="en-US" w:eastAsia="zh-CN"/>
        </w:rPr>
      </w:pPr>
      <w:r>
        <w:rPr>
          <w:rFonts w:hint="default"/>
          <w:color w:val="auto"/>
          <w:lang w:val="en-US" w:eastAsia="zh-CN"/>
        </w:rPr>
        <w:t>1、《采暖通风与空气调节设计规范》（GB50019-2003）。</w:t>
      </w:r>
    </w:p>
    <w:p>
      <w:pPr>
        <w:bidi w:val="0"/>
        <w:rPr>
          <w:rFonts w:hint="default"/>
          <w:color w:val="auto"/>
          <w:lang w:val="en-US" w:eastAsia="zh-CN"/>
        </w:rPr>
      </w:pPr>
      <w:r>
        <w:rPr>
          <w:rFonts w:hint="default"/>
          <w:color w:val="auto"/>
          <w:lang w:val="en-US" w:eastAsia="zh-CN"/>
        </w:rPr>
        <w:t>2、《工业设备及管道绝缘工程设计规范》（GB50264-2013）。</w:t>
      </w:r>
    </w:p>
    <w:p>
      <w:pPr>
        <w:pStyle w:val="4"/>
        <w:bidi w:val="0"/>
        <w:rPr>
          <w:rFonts w:hint="default"/>
          <w:color w:val="auto"/>
          <w:lang w:val="en-US" w:eastAsia="zh-CN"/>
        </w:rPr>
      </w:pPr>
      <w:r>
        <w:rPr>
          <w:rFonts w:hint="default"/>
          <w:color w:val="auto"/>
          <w:lang w:val="en-US" w:eastAsia="zh-CN"/>
        </w:rPr>
        <w:t>节能标准</w:t>
      </w:r>
    </w:p>
    <w:p>
      <w:pPr>
        <w:bidi w:val="0"/>
        <w:rPr>
          <w:rFonts w:hint="default"/>
          <w:color w:val="auto"/>
          <w:lang w:val="en-US" w:eastAsia="zh-CN"/>
        </w:rPr>
      </w:pPr>
      <w:r>
        <w:rPr>
          <w:rFonts w:hint="default"/>
          <w:color w:val="auto"/>
          <w:lang w:val="en-US" w:eastAsia="zh-CN"/>
        </w:rPr>
        <w:t>1、《公共建筑节能设计标准》（GB50189-2005）。</w:t>
      </w:r>
    </w:p>
    <w:p>
      <w:pPr>
        <w:bidi w:val="0"/>
        <w:rPr>
          <w:rFonts w:hint="default"/>
          <w:color w:val="auto"/>
          <w:lang w:val="en-US" w:eastAsia="zh-CN"/>
        </w:rPr>
      </w:pPr>
      <w:r>
        <w:rPr>
          <w:rFonts w:hint="default"/>
          <w:color w:val="auto"/>
          <w:lang w:val="en-US" w:eastAsia="zh-CN"/>
        </w:rPr>
        <w:t>2、《湖南省公共建筑节能设计标准》（DBJ43/003-2017）。</w:t>
      </w:r>
    </w:p>
    <w:p>
      <w:pPr>
        <w:bidi w:val="0"/>
        <w:rPr>
          <w:rFonts w:hint="default"/>
          <w:color w:val="auto"/>
          <w:lang w:val="en-US" w:eastAsia="zh-CN"/>
        </w:rPr>
      </w:pPr>
      <w:r>
        <w:rPr>
          <w:rFonts w:hint="default"/>
          <w:color w:val="auto"/>
          <w:lang w:val="en-US" w:eastAsia="zh-CN"/>
        </w:rPr>
        <w:t>3、《建筑节能与可再生能源利用通用规范》（GB55015-2021）。</w:t>
      </w:r>
    </w:p>
    <w:p>
      <w:pPr>
        <w:bidi w:val="0"/>
        <w:rPr>
          <w:rFonts w:hint="default"/>
          <w:color w:val="auto"/>
          <w:lang w:val="en-US" w:eastAsia="zh-CN"/>
        </w:rPr>
      </w:pPr>
      <w:r>
        <w:rPr>
          <w:rFonts w:hint="default"/>
          <w:color w:val="auto"/>
          <w:lang w:val="en-US" w:eastAsia="zh-CN"/>
        </w:rPr>
        <w:t>4、《民用建筑热工设计规范》（GB50176-2016）。</w:t>
      </w:r>
    </w:p>
    <w:p>
      <w:pPr>
        <w:bidi w:val="0"/>
        <w:rPr>
          <w:rFonts w:hint="default"/>
          <w:color w:val="auto"/>
          <w:lang w:val="en-US" w:eastAsia="zh-CN"/>
        </w:rPr>
      </w:pPr>
      <w:r>
        <w:rPr>
          <w:rFonts w:hint="default"/>
          <w:color w:val="auto"/>
          <w:lang w:val="en-US" w:eastAsia="zh-CN"/>
        </w:rPr>
        <w:t>5、《企业综合能耗计算通则》（GB/T2589-2008）。</w:t>
      </w:r>
    </w:p>
    <w:p>
      <w:pPr>
        <w:bidi w:val="0"/>
        <w:rPr>
          <w:rFonts w:hint="default"/>
          <w:color w:val="auto"/>
          <w:lang w:val="en-US" w:eastAsia="zh-CN"/>
        </w:rPr>
      </w:pPr>
      <w:r>
        <w:rPr>
          <w:rFonts w:hint="default"/>
          <w:color w:val="auto"/>
          <w:lang w:val="en-US" w:eastAsia="zh-CN"/>
        </w:rPr>
        <w:t>6、《中国节能技术大纲》。</w:t>
      </w:r>
    </w:p>
    <w:p>
      <w:pPr>
        <w:bidi w:val="0"/>
        <w:rPr>
          <w:rFonts w:hint="default"/>
          <w:color w:val="auto"/>
          <w:lang w:val="en-US" w:eastAsia="zh-CN"/>
        </w:rPr>
      </w:pPr>
      <w:r>
        <w:rPr>
          <w:rFonts w:hint="default"/>
          <w:color w:val="auto"/>
          <w:lang w:val="en-US" w:eastAsia="zh-CN"/>
        </w:rPr>
        <w:t>7、《设备及管道保温计算导则》（GB/T8175-2008）。</w:t>
      </w:r>
    </w:p>
    <w:p>
      <w:pPr>
        <w:pStyle w:val="3"/>
        <w:bidi w:val="0"/>
        <w:rPr>
          <w:color w:val="auto"/>
          <w:lang w:eastAsia="en-US"/>
        </w:rPr>
      </w:pPr>
      <w:r>
        <w:rPr>
          <w:color w:val="auto"/>
          <w:lang w:eastAsia="en-US"/>
        </w:rPr>
        <w:t>节能措施</w:t>
      </w:r>
    </w:p>
    <w:p>
      <w:pPr>
        <w:bidi w:val="0"/>
        <w:rPr>
          <w:color w:val="auto"/>
          <w:lang w:eastAsia="en-US"/>
        </w:rPr>
      </w:pPr>
      <w:r>
        <w:rPr>
          <w:color w:val="auto"/>
          <w:lang w:eastAsia="en-US"/>
        </w:rPr>
        <w:t>我国是能源和水资源匮乏的国家。节能是本工程的重要任务之一，是降低生产成本的重要途径。能源是人类的宝贵财富，企业必须十分重视节能措施的落实。工程项目建设应做到合理利用能源和节约能源，为此，本项目要求多层次、多渠道、多方面做好节能工作，以达到节能的目的。</w:t>
      </w:r>
    </w:p>
    <w:p>
      <w:pPr>
        <w:pStyle w:val="4"/>
        <w:bidi w:val="0"/>
        <w:rPr>
          <w:rFonts w:hint="default"/>
          <w:color w:val="auto"/>
          <w:lang w:val="en-US" w:eastAsia="zh-CN"/>
        </w:rPr>
      </w:pPr>
      <w:r>
        <w:rPr>
          <w:rFonts w:hint="eastAsia"/>
          <w:color w:val="auto"/>
          <w:lang w:val="en-US" w:eastAsia="zh-CN"/>
        </w:rPr>
        <w:t>建筑专业</w:t>
      </w:r>
    </w:p>
    <w:p>
      <w:pPr>
        <w:bidi w:val="0"/>
        <w:rPr>
          <w:rFonts w:hint="default"/>
          <w:color w:val="auto"/>
          <w:lang w:val="en-US" w:eastAsia="zh-CN"/>
        </w:rPr>
      </w:pPr>
      <w:r>
        <w:rPr>
          <w:rFonts w:hint="eastAsia"/>
          <w:color w:val="auto"/>
          <w:lang w:val="en-US" w:eastAsia="zh-CN"/>
        </w:rPr>
        <w:t>1、建筑节能类型</w:t>
      </w:r>
    </w:p>
    <w:p>
      <w:pPr>
        <w:bidi w:val="0"/>
        <w:rPr>
          <w:rFonts w:hint="default"/>
          <w:color w:val="auto"/>
          <w:lang w:val="en-US" w:eastAsia="zh-CN"/>
        </w:rPr>
      </w:pPr>
      <w:r>
        <w:rPr>
          <w:rFonts w:hint="default"/>
          <w:color w:val="auto"/>
          <w:lang w:val="en-US" w:eastAsia="zh-CN"/>
        </w:rPr>
        <w:t>建筑类型划分依据：《工业建筑节能设计统一标准》(GB51245-2017)</w:t>
      </w:r>
    </w:p>
    <w:p>
      <w:pPr>
        <w:bidi w:val="0"/>
        <w:rPr>
          <w:rFonts w:hint="default"/>
          <w:color w:val="auto"/>
          <w:lang w:val="en-US" w:eastAsia="zh-CN"/>
        </w:rPr>
      </w:pPr>
      <w:r>
        <w:rPr>
          <w:rFonts w:hint="default"/>
          <w:color w:val="auto"/>
          <w:lang w:val="en-US" w:eastAsia="zh-CN"/>
        </w:rPr>
        <w:t>一类工业建筑：以供暖、空调能耗为主的厂房或部位，通常室内无强污染源及强热源，电子通信、医药、印刷、纺织等行业为一类工业建筑；二类工业建筑：以通风能耗为主的厂房或部位，通常室内有强污染源或强热源，钢铁冶金、石油化工、机械制造等行业为二类工业建筑；该建筑类型为:</w:t>
      </w:r>
      <w:r>
        <w:rPr>
          <w:rFonts w:hint="eastAsia"/>
          <w:color w:val="auto"/>
          <w:lang w:val="en-US" w:eastAsia="zh-CN"/>
        </w:rPr>
        <w:t>二</w:t>
      </w:r>
      <w:r>
        <w:rPr>
          <w:rFonts w:hint="default"/>
          <w:color w:val="auto"/>
          <w:lang w:val="en-US" w:eastAsia="zh-CN"/>
        </w:rPr>
        <w:t>类工业建筑</w:t>
      </w:r>
    </w:p>
    <w:p>
      <w:pPr>
        <w:bidi w:val="0"/>
        <w:rPr>
          <w:rFonts w:hint="default"/>
          <w:color w:val="auto"/>
          <w:lang w:val="en-US" w:eastAsia="zh-CN"/>
        </w:rPr>
      </w:pPr>
      <w:r>
        <w:rPr>
          <w:rFonts w:hint="default"/>
          <w:color w:val="auto"/>
          <w:lang w:val="en-US" w:eastAsia="zh-CN"/>
        </w:rPr>
        <w:t>本次节能设计仅对</w:t>
      </w:r>
      <w:r>
        <w:rPr>
          <w:rFonts w:hint="eastAsia"/>
          <w:color w:val="auto"/>
          <w:lang w:val="en-US" w:eastAsia="zh-CN"/>
        </w:rPr>
        <w:t>办公楼、宿舍楼、门卫</w:t>
      </w:r>
      <w:r>
        <w:rPr>
          <w:rFonts w:hint="default"/>
          <w:color w:val="auto"/>
          <w:lang w:val="en-US" w:eastAsia="zh-CN"/>
        </w:rPr>
        <w:t>进行建筑节能计算。</w:t>
      </w:r>
    </w:p>
    <w:p>
      <w:pPr>
        <w:bidi w:val="0"/>
        <w:rPr>
          <w:rFonts w:hint="eastAsia"/>
          <w:color w:val="auto"/>
          <w:lang w:val="en-US" w:eastAsia="zh-CN"/>
        </w:rPr>
      </w:pPr>
      <w:r>
        <w:rPr>
          <w:rFonts w:hint="eastAsia"/>
          <w:color w:val="auto"/>
          <w:lang w:val="en-US" w:eastAsia="zh-CN"/>
        </w:rPr>
        <w:t>2.建筑布置与体形</w:t>
      </w:r>
    </w:p>
    <w:p>
      <w:pPr>
        <w:bidi w:val="0"/>
        <w:rPr>
          <w:rFonts w:hint="eastAsia"/>
          <w:color w:val="auto"/>
          <w:lang w:val="en-US" w:eastAsia="zh-CN"/>
        </w:rPr>
      </w:pPr>
      <w:r>
        <w:rPr>
          <w:rFonts w:hint="eastAsia"/>
          <w:color w:val="auto"/>
          <w:lang w:val="en-US" w:eastAsia="zh-CN"/>
        </w:rPr>
        <w:t>为减少能量的损耗，设计中主体建筑尽量保证南北朝向，减少外墙凹凸面，最大限度的满足采光通风要求及减小建筑体形系数。</w:t>
      </w:r>
    </w:p>
    <w:p>
      <w:pPr>
        <w:bidi w:val="0"/>
        <w:rPr>
          <w:rFonts w:hint="eastAsia"/>
          <w:color w:val="auto"/>
          <w:lang w:val="en-US" w:eastAsia="zh-CN"/>
        </w:rPr>
      </w:pPr>
      <w:r>
        <w:rPr>
          <w:rFonts w:hint="eastAsia"/>
          <w:color w:val="auto"/>
          <w:lang w:val="en-US" w:eastAsia="zh-CN"/>
        </w:rPr>
        <w:t>(1)外墙采用200厚页岩烧结多孔砖，</w:t>
      </w:r>
      <w:r>
        <w:rPr>
          <w:color w:val="auto"/>
          <w:kern w:val="2"/>
          <w:szCs w:val="24"/>
          <w:lang w:val="en-US"/>
        </w:rPr>
        <w:t>热固复合聚苯板G型05级</w:t>
      </w:r>
      <w:r>
        <w:rPr>
          <w:rFonts w:hint="eastAsia"/>
          <w:color w:val="auto"/>
          <w:lang w:val="en-US" w:eastAsia="zh-CN"/>
        </w:rPr>
        <w:t>内保温体系。分户墙、内墙采用200厚或100厚页岩烧结多孔砖。</w:t>
      </w:r>
    </w:p>
    <w:p>
      <w:pPr>
        <w:bidi w:val="0"/>
        <w:rPr>
          <w:rFonts w:hint="eastAsia"/>
          <w:color w:val="auto"/>
          <w:lang w:val="en-US" w:eastAsia="zh-CN"/>
        </w:rPr>
      </w:pPr>
      <w:r>
        <w:rPr>
          <w:rFonts w:hint="eastAsia"/>
          <w:color w:val="auto"/>
          <w:lang w:val="en-US" w:eastAsia="zh-CN"/>
        </w:rPr>
        <w:t>屋面采用挤塑聚苯板保温屋面，建筑架空外露部位采用无机保温板保温,以达到节能的目的。</w:t>
      </w:r>
    </w:p>
    <w:p>
      <w:pPr>
        <w:bidi w:val="0"/>
        <w:rPr>
          <w:rFonts w:hint="eastAsia"/>
          <w:color w:val="auto"/>
          <w:lang w:val="en-US" w:eastAsia="zh-CN"/>
        </w:rPr>
      </w:pPr>
      <w:r>
        <w:rPr>
          <w:rFonts w:hint="eastAsia"/>
          <w:color w:val="auto"/>
          <w:lang w:val="en-US" w:eastAsia="zh-CN"/>
        </w:rPr>
        <w:t>(2)采用可开启外窗，有利于非冷季节组织自然通风。</w:t>
      </w:r>
    </w:p>
    <w:p>
      <w:pPr>
        <w:bidi w:val="0"/>
        <w:rPr>
          <w:rFonts w:hint="default"/>
          <w:color w:val="auto"/>
          <w:lang w:val="en-US" w:eastAsia="zh-CN"/>
        </w:rPr>
      </w:pPr>
      <w:r>
        <w:rPr>
          <w:rFonts w:hint="default"/>
          <w:color w:val="auto"/>
          <w:lang w:val="en-US" w:eastAsia="zh-CN"/>
        </w:rPr>
        <w:t>（3）外窗采用隔热金属型材多腔密封（6高透光双银Low-E+12空气+6透明），传热系数2.</w:t>
      </w:r>
      <w:r>
        <w:rPr>
          <w:rFonts w:hint="eastAsia"/>
          <w:color w:val="auto"/>
          <w:lang w:val="en-US" w:eastAsia="zh-CN"/>
        </w:rPr>
        <w:t>02</w:t>
      </w:r>
      <w:r>
        <w:rPr>
          <w:rFonts w:hint="default"/>
          <w:color w:val="auto"/>
          <w:lang w:val="en-US" w:eastAsia="zh-CN"/>
        </w:rPr>
        <w:t>W/㎡·K。</w:t>
      </w:r>
    </w:p>
    <w:p>
      <w:pPr>
        <w:bidi w:val="0"/>
        <w:rPr>
          <w:rFonts w:hint="default"/>
          <w:color w:val="auto"/>
          <w:lang w:val="en-US" w:eastAsia="zh-CN"/>
        </w:rPr>
      </w:pPr>
      <w:r>
        <w:rPr>
          <w:rFonts w:hint="default"/>
          <w:color w:val="auto"/>
          <w:lang w:val="en-US" w:eastAsia="zh-CN"/>
        </w:rPr>
        <w:t>外窗的气密性等级不低于《建筑外窗气密、水密、抗风压性能检测方法</w:t>
      </w:r>
      <w:bookmarkStart w:id="39" w:name="OLE_LINK55"/>
      <w:r>
        <w:rPr>
          <w:rFonts w:hint="default"/>
          <w:color w:val="auto"/>
          <w:lang w:val="en-US" w:eastAsia="zh-CN"/>
        </w:rPr>
        <w:t>》（GB/</w:t>
      </w:r>
      <w:bookmarkEnd w:id="39"/>
      <w:r>
        <w:rPr>
          <w:rFonts w:hint="default"/>
          <w:color w:val="auto"/>
          <w:lang w:val="en-US" w:eastAsia="zh-CN"/>
        </w:rPr>
        <w:t>T7106-2019）中的规定，并满足以下要求：10层以下建筑外窗的气密性不应低于6级。</w:t>
      </w:r>
    </w:p>
    <w:p>
      <w:pPr>
        <w:rPr>
          <w:rFonts w:hint="default"/>
          <w:color w:val="auto"/>
          <w:lang w:val="en-US" w:eastAsia="zh-CN"/>
        </w:rPr>
      </w:pPr>
      <w:r>
        <w:rPr>
          <w:rFonts w:hint="eastAsia"/>
          <w:color w:val="auto"/>
          <w:lang w:val="en-US" w:eastAsia="zh-CN"/>
        </w:rPr>
        <w:t>(4)</w:t>
      </w:r>
      <w:r>
        <w:rPr>
          <w:rFonts w:hint="default"/>
          <w:color w:val="auto"/>
          <w:lang w:val="en-US" w:eastAsia="zh-CN"/>
        </w:rPr>
        <w:t>建筑节能设计计算报告书</w:t>
      </w:r>
      <w:r>
        <w:rPr>
          <w:rFonts w:hint="eastAsia"/>
          <w:color w:val="auto"/>
          <w:lang w:val="en-US" w:eastAsia="zh-CN"/>
        </w:rPr>
        <w:t>及碳排放计算书</w:t>
      </w:r>
      <w:r>
        <w:rPr>
          <w:rFonts w:hint="default"/>
          <w:color w:val="auto"/>
          <w:lang w:val="en-US" w:eastAsia="zh-CN"/>
        </w:rPr>
        <w:t>详文本附件</w:t>
      </w:r>
    </w:p>
    <w:p>
      <w:pPr>
        <w:bidi w:val="0"/>
        <w:rPr>
          <w:rFonts w:hint="eastAsia"/>
          <w:color w:val="auto"/>
          <w:lang w:val="en-US" w:eastAsia="zh-CN"/>
        </w:rPr>
      </w:pPr>
      <w:r>
        <w:rPr>
          <w:rFonts w:hint="eastAsia"/>
          <w:color w:val="auto"/>
          <w:lang w:val="en-US" w:eastAsia="zh-CN"/>
        </w:rPr>
        <w:t>3、其他措施</w:t>
      </w:r>
    </w:p>
    <w:p>
      <w:pPr>
        <w:bidi w:val="0"/>
        <w:rPr>
          <w:rFonts w:hint="default"/>
          <w:color w:val="auto"/>
          <w:lang w:val="en-US" w:eastAsia="zh-CN"/>
        </w:rPr>
      </w:pPr>
      <w:r>
        <w:rPr>
          <w:rFonts w:hint="default"/>
          <w:color w:val="auto"/>
          <w:lang w:val="en-US" w:eastAsia="zh-CN"/>
        </w:rPr>
        <w:t>1)外墙内保温系统包覆门窗框内侧洞口及梁、楼板，以减小热桥影响和避免墙体温度烈缝。</w:t>
      </w:r>
    </w:p>
    <w:p>
      <w:pPr>
        <w:bidi w:val="0"/>
        <w:rPr>
          <w:rFonts w:hint="default"/>
          <w:color w:val="auto"/>
          <w:lang w:val="en-US" w:eastAsia="zh-CN"/>
        </w:rPr>
      </w:pPr>
      <w:r>
        <w:rPr>
          <w:rFonts w:hint="default"/>
          <w:color w:val="auto"/>
          <w:lang w:val="en-US" w:eastAsia="zh-CN"/>
        </w:rPr>
        <w:t>2)在XPS板端头、孔洞部位做好密封处理。</w:t>
      </w:r>
    </w:p>
    <w:p>
      <w:pPr>
        <w:bidi w:val="0"/>
        <w:rPr>
          <w:rFonts w:hint="default"/>
          <w:color w:val="auto"/>
          <w:lang w:val="en-US" w:eastAsia="zh-CN"/>
        </w:rPr>
      </w:pPr>
      <w:r>
        <w:rPr>
          <w:rFonts w:hint="default"/>
          <w:color w:val="auto"/>
          <w:lang w:val="en-US" w:eastAsia="zh-CN"/>
        </w:rPr>
        <w:t>3)保温屋面的天沟、檐沟，铺设保温层；有挑檐、女儿墙的保温屋面，保温层的铺设应延升到挑檐、女儿墙。</w:t>
      </w:r>
    </w:p>
    <w:p>
      <w:pPr>
        <w:bidi w:val="0"/>
        <w:rPr>
          <w:rFonts w:hint="default"/>
          <w:color w:val="auto"/>
          <w:lang w:val="en-US" w:eastAsia="zh-CN"/>
        </w:rPr>
      </w:pPr>
      <w:r>
        <w:rPr>
          <w:rFonts w:hint="default"/>
          <w:color w:val="auto"/>
          <w:lang w:val="en-US" w:eastAsia="zh-CN"/>
        </w:rPr>
        <w:t>4)为提高门窗、幕墙的气密性能，门窗、幕墙的面板缝隙采取良好的密封措施。</w:t>
      </w:r>
    </w:p>
    <w:p>
      <w:pPr>
        <w:bidi w:val="0"/>
        <w:rPr>
          <w:rFonts w:hint="default"/>
          <w:color w:val="auto"/>
          <w:lang w:val="en-US" w:eastAsia="zh-CN"/>
        </w:rPr>
      </w:pPr>
      <w:r>
        <w:rPr>
          <w:rFonts w:hint="default"/>
          <w:color w:val="auto"/>
          <w:lang w:val="en-US" w:eastAsia="zh-CN"/>
        </w:rPr>
        <w:t>玻璃或非透明面板四周应采用弹性好，耐久的密封条密封或注密封胶密封。</w:t>
      </w:r>
    </w:p>
    <w:p>
      <w:pPr>
        <w:bidi w:val="0"/>
        <w:rPr>
          <w:rFonts w:hint="default"/>
          <w:color w:val="auto"/>
          <w:lang w:val="en-US" w:eastAsia="zh-CN"/>
        </w:rPr>
      </w:pPr>
      <w:r>
        <w:rPr>
          <w:rFonts w:hint="default"/>
          <w:color w:val="auto"/>
          <w:lang w:val="en-US" w:eastAsia="zh-CN"/>
        </w:rPr>
        <w:t>外窗可开启面积不小于窗面积的30%，透明幕墙具有可开启部分及通风换气装置。外窗气密性不低于《建筑外窗气密、水密、抗风压能分级及其检测方法》GB／T7106-2008规定的6级。透明幕墙的气密性不应低于《建筑幕墙》GB／T21086-2007规定的4级。</w:t>
      </w:r>
    </w:p>
    <w:p>
      <w:pPr>
        <w:pStyle w:val="4"/>
        <w:bidi w:val="0"/>
        <w:rPr>
          <w:rFonts w:hint="default"/>
          <w:color w:val="auto"/>
          <w:lang w:val="en-US" w:eastAsia="zh-CN"/>
        </w:rPr>
      </w:pPr>
      <w:r>
        <w:rPr>
          <w:rFonts w:hint="eastAsia"/>
          <w:color w:val="auto"/>
          <w:lang w:val="en-US" w:eastAsia="zh-CN"/>
        </w:rPr>
        <w:t>结构专业</w:t>
      </w:r>
    </w:p>
    <w:p>
      <w:pPr>
        <w:bidi w:val="0"/>
        <w:rPr>
          <w:color w:val="auto"/>
          <w:lang w:val="en-US" w:eastAsia="en-US"/>
        </w:rPr>
      </w:pPr>
      <w:r>
        <w:rPr>
          <w:rFonts w:hint="eastAsia"/>
          <w:color w:val="auto"/>
          <w:lang w:val="en-US" w:eastAsia="en-US"/>
        </w:rPr>
        <w:t>本工程结构设计根据本工程特点：梁、柱、墙均采用强度较高的HRB400、HPB300，节约了工程的用钢量，把高科技应用于节能产业，提高节能效果。同时对结构布置及结构设计进行优化，如：采用合理的柱网布置，选择合理的梁柱截面，柱筋设计将计算所需的钢筋尽量布置在角筋位置，梁筋设计尽量减少通长钢筋等措施，以节约钢筋用量。同时，据工程实际情况选用合理的基础型式，在施工中均采用商品砼，减少施工建造过程的能耗及保证工程质量。</w:t>
      </w:r>
    </w:p>
    <w:p>
      <w:pPr>
        <w:pStyle w:val="4"/>
        <w:bidi w:val="0"/>
        <w:rPr>
          <w:rFonts w:hint="default"/>
          <w:color w:val="auto"/>
          <w:lang w:val="en-US" w:eastAsia="zh-CN"/>
        </w:rPr>
      </w:pPr>
      <w:r>
        <w:rPr>
          <w:rFonts w:hint="eastAsia"/>
          <w:color w:val="auto"/>
          <w:lang w:val="en-US" w:eastAsia="zh-CN"/>
        </w:rPr>
        <w:t>给排水专业</w:t>
      </w:r>
    </w:p>
    <w:p>
      <w:pPr>
        <w:bidi w:val="0"/>
        <w:rPr>
          <w:rFonts w:hint="default"/>
          <w:color w:val="auto"/>
          <w:lang w:val="en-US" w:eastAsia="zh-CN"/>
        </w:rPr>
      </w:pPr>
      <w:r>
        <w:rPr>
          <w:rFonts w:hint="default"/>
          <w:color w:val="auto"/>
          <w:lang w:val="en-US" w:eastAsia="zh-CN"/>
        </w:rPr>
        <w:t>1．使用节能给水管件及配件、选用新型节水型设备，如大便器采用液压缓闭冲洗阀；</w:t>
      </w:r>
    </w:p>
    <w:p>
      <w:pPr>
        <w:bidi w:val="0"/>
        <w:rPr>
          <w:rFonts w:hint="default"/>
          <w:color w:val="auto"/>
          <w:lang w:val="en-US" w:eastAsia="zh-CN"/>
        </w:rPr>
      </w:pPr>
      <w:r>
        <w:rPr>
          <w:rFonts w:hint="default"/>
          <w:color w:val="auto"/>
          <w:lang w:val="en-US" w:eastAsia="zh-CN"/>
        </w:rPr>
        <w:t>2．采用节水型水龙头和节水型淋浴设施。</w:t>
      </w:r>
    </w:p>
    <w:p>
      <w:pPr>
        <w:pStyle w:val="4"/>
        <w:bidi w:val="0"/>
        <w:rPr>
          <w:rFonts w:hint="default"/>
          <w:color w:val="auto"/>
          <w:lang w:val="en-US" w:eastAsia="zh-CN"/>
        </w:rPr>
      </w:pPr>
      <w:r>
        <w:rPr>
          <w:rFonts w:hint="eastAsia"/>
          <w:color w:val="auto"/>
          <w:lang w:val="en-US" w:eastAsia="zh-CN"/>
        </w:rPr>
        <w:t>电气专业</w:t>
      </w:r>
    </w:p>
    <w:p>
      <w:pPr>
        <w:bidi w:val="0"/>
        <w:rPr>
          <w:rFonts w:hint="default"/>
          <w:color w:val="auto"/>
          <w:lang w:val="en-US" w:eastAsia="zh-CN"/>
        </w:rPr>
      </w:pPr>
      <w:r>
        <w:rPr>
          <w:rFonts w:hint="default"/>
          <w:color w:val="auto"/>
          <w:lang w:val="en-US" w:eastAsia="zh-CN"/>
        </w:rPr>
        <w:t>1．变配电系统的节能</w:t>
      </w:r>
    </w:p>
    <w:p>
      <w:pPr>
        <w:bidi w:val="0"/>
        <w:rPr>
          <w:rFonts w:hint="default"/>
          <w:color w:val="auto"/>
          <w:lang w:val="en-US" w:eastAsia="zh-CN"/>
        </w:rPr>
      </w:pPr>
      <w:r>
        <w:rPr>
          <w:rFonts w:hint="default"/>
          <w:color w:val="auto"/>
          <w:lang w:val="en-US" w:eastAsia="zh-CN"/>
        </w:rPr>
        <w:t>根据用电性质、用电容量，选择合理的供电电压和供电方式</w:t>
      </w:r>
      <w:r>
        <w:rPr>
          <w:rFonts w:hint="eastAsia"/>
          <w:color w:val="auto"/>
          <w:lang w:val="en-US" w:eastAsia="zh-CN"/>
        </w:rPr>
        <w:t>。</w:t>
      </w:r>
    </w:p>
    <w:p>
      <w:pPr>
        <w:bidi w:val="0"/>
        <w:rPr>
          <w:rFonts w:hint="default"/>
          <w:color w:val="auto"/>
          <w:lang w:val="en-US" w:eastAsia="zh-CN"/>
        </w:rPr>
      </w:pPr>
      <w:r>
        <w:rPr>
          <w:rFonts w:hint="default"/>
          <w:color w:val="auto"/>
          <w:lang w:val="en-US" w:eastAsia="zh-CN"/>
        </w:rPr>
        <w:t>将变电所设在尽量接近负荷中心，可以减少低压侧线路长度，从而降低线路损耗。</w:t>
      </w:r>
    </w:p>
    <w:p>
      <w:pPr>
        <w:bidi w:val="0"/>
        <w:rPr>
          <w:rFonts w:hint="default"/>
          <w:color w:val="auto"/>
          <w:lang w:val="en-US" w:eastAsia="zh-CN"/>
        </w:rPr>
      </w:pPr>
      <w:r>
        <w:rPr>
          <w:rFonts w:hint="default"/>
          <w:color w:val="auto"/>
          <w:lang w:val="en-US" w:eastAsia="zh-CN"/>
        </w:rPr>
        <w:t>选用高效低耗变压器，力求使变压器的实际负荷接近实际的最佳负荷，提高变压器的技术经济效益，减少变压器损耗。</w:t>
      </w:r>
    </w:p>
    <w:p>
      <w:pPr>
        <w:bidi w:val="0"/>
        <w:rPr>
          <w:rFonts w:hint="default"/>
          <w:color w:val="auto"/>
          <w:lang w:val="en-US" w:eastAsia="zh-CN"/>
        </w:rPr>
      </w:pPr>
      <w:r>
        <w:rPr>
          <w:rFonts w:hint="default"/>
          <w:color w:val="auto"/>
          <w:lang w:val="en-US" w:eastAsia="zh-CN"/>
        </w:rPr>
        <w:t>合理选择变压器的容量、台数、运行方式，实现变压器的经济运</w:t>
      </w:r>
      <w:r>
        <w:rPr>
          <w:rFonts w:hint="default"/>
          <w:color w:val="auto"/>
          <w:spacing w:val="-20"/>
          <w:sz w:val="30"/>
          <w:lang w:val="en-US" w:eastAsia="zh-CN"/>
        </w:rPr>
        <w:t>行。对季节性负荷（如空调机组）应设专用变压器，以减少变压器损耗。</w:t>
      </w:r>
    </w:p>
    <w:p>
      <w:pPr>
        <w:bidi w:val="0"/>
        <w:rPr>
          <w:rFonts w:hint="default"/>
          <w:color w:val="auto"/>
          <w:lang w:val="en-US" w:eastAsia="zh-CN"/>
        </w:rPr>
      </w:pPr>
      <w:r>
        <w:rPr>
          <w:rFonts w:hint="default"/>
          <w:color w:val="auto"/>
          <w:lang w:val="en-US" w:eastAsia="zh-CN"/>
        </w:rPr>
        <w:t>合理选择导线截面，合理选择线路路径，负荷线路尽量以最短的路径敷设，以降低线路损耗。</w:t>
      </w:r>
    </w:p>
    <w:p>
      <w:pPr>
        <w:bidi w:val="0"/>
        <w:rPr>
          <w:rFonts w:hint="default"/>
          <w:color w:val="auto"/>
          <w:lang w:val="en-US" w:eastAsia="zh-CN"/>
        </w:rPr>
      </w:pPr>
      <w:r>
        <w:rPr>
          <w:rFonts w:hint="default"/>
          <w:color w:val="auto"/>
          <w:lang w:val="en-US" w:eastAsia="zh-CN"/>
        </w:rPr>
        <w:t>在提高自然功率因素的基础上，应在负荷侧合理装置集中与就地无功补偿设备，在用户最大负荷时的功率因素应不低于0.95，低负荷时，应调整无功补偿设备，不得过补偿。</w:t>
      </w:r>
    </w:p>
    <w:p>
      <w:pPr>
        <w:bidi w:val="0"/>
        <w:rPr>
          <w:rFonts w:hint="default"/>
          <w:color w:val="auto"/>
          <w:lang w:val="en-US" w:eastAsia="zh-CN"/>
        </w:rPr>
      </w:pPr>
      <w:r>
        <w:rPr>
          <w:rFonts w:hint="default"/>
          <w:color w:val="auto"/>
          <w:lang w:val="en-US" w:eastAsia="zh-CN"/>
        </w:rPr>
        <w:t>用电设备的非线性负荷产生高次谐波，引起电网电压畸变及电流畸变，应采取抑制高次谐波的措施达到GB/T14549-1993《电能质量公用电网谐波》的要求。</w:t>
      </w:r>
    </w:p>
    <w:p>
      <w:pPr>
        <w:bidi w:val="0"/>
        <w:rPr>
          <w:rFonts w:hint="default"/>
          <w:color w:val="auto"/>
          <w:lang w:val="en-US" w:eastAsia="zh-CN"/>
        </w:rPr>
      </w:pPr>
      <w:r>
        <w:rPr>
          <w:rFonts w:hint="default"/>
          <w:color w:val="auto"/>
          <w:lang w:val="en-US" w:eastAsia="zh-CN"/>
        </w:rPr>
        <w:t>供配电系统设计采用的设备和元器件，应符合国家或行业的产品技术标准，并优先选用技术先进、经济适用和节能的成套设备和定型产品，不得采用淘汰产品。</w:t>
      </w:r>
    </w:p>
    <w:p>
      <w:pPr>
        <w:bidi w:val="0"/>
        <w:rPr>
          <w:rFonts w:hint="default"/>
          <w:color w:val="auto"/>
          <w:lang w:val="en-US" w:eastAsia="zh-CN"/>
        </w:rPr>
      </w:pPr>
      <w:r>
        <w:rPr>
          <w:rFonts w:hint="default"/>
          <w:color w:val="auto"/>
          <w:lang w:val="en-US" w:eastAsia="zh-CN"/>
        </w:rPr>
        <w:t>2．照明系统的节能</w:t>
      </w:r>
    </w:p>
    <w:p>
      <w:pPr>
        <w:bidi w:val="0"/>
        <w:rPr>
          <w:rFonts w:hint="default"/>
          <w:color w:val="auto"/>
          <w:lang w:val="en-US" w:eastAsia="zh-CN"/>
        </w:rPr>
      </w:pPr>
      <w:r>
        <w:rPr>
          <w:rFonts w:hint="default"/>
          <w:color w:val="auto"/>
          <w:lang w:val="en-US" w:eastAsia="zh-CN"/>
        </w:rPr>
        <w:t>本项目的照明设计满足《建筑照明设计标准》GB50034-2013的目标值要求，不高于这一目标值，照明灯具主要采用T5节能荧光灯并配以电子镇流器，楼梯间等公共区域采用节能型控制措施。</w:t>
      </w:r>
    </w:p>
    <w:p>
      <w:pPr>
        <w:bidi w:val="0"/>
        <w:rPr>
          <w:rFonts w:hint="default"/>
          <w:color w:val="auto"/>
          <w:lang w:val="en-US" w:eastAsia="zh-CN"/>
        </w:rPr>
      </w:pPr>
      <w:r>
        <w:rPr>
          <w:rFonts w:hint="default"/>
          <w:color w:val="auto"/>
          <w:lang w:val="en-US" w:eastAsia="zh-CN"/>
        </w:rPr>
        <w:t>根据不同的使用场合选择合适的光源，在满足照明质量的前提下，应尽可能选择高效光源。建筑公共照明，室外照明，建筑夜景照明，均优先采用LED节能型光源。</w:t>
      </w:r>
    </w:p>
    <w:p>
      <w:pPr>
        <w:bidi w:val="0"/>
        <w:rPr>
          <w:rFonts w:hint="default"/>
          <w:color w:val="auto"/>
          <w:lang w:val="en-US" w:eastAsia="zh-CN"/>
        </w:rPr>
      </w:pPr>
      <w:r>
        <w:rPr>
          <w:rFonts w:hint="default"/>
          <w:color w:val="auto"/>
          <w:lang w:val="en-US" w:eastAsia="zh-CN"/>
        </w:rPr>
        <w:t>在满足眩光限制的条件下，应优先选择效率高的灯具以及开启式直接照明灯具。</w:t>
      </w:r>
    </w:p>
    <w:p>
      <w:pPr>
        <w:bidi w:val="0"/>
        <w:rPr>
          <w:rFonts w:hint="default"/>
          <w:color w:val="auto"/>
          <w:lang w:val="en-US" w:eastAsia="zh-CN"/>
        </w:rPr>
      </w:pPr>
      <w:r>
        <w:rPr>
          <w:rFonts w:hint="default"/>
          <w:color w:val="auto"/>
          <w:lang w:val="en-US" w:eastAsia="zh-CN"/>
        </w:rPr>
        <w:t>在满足灯具最低允许安装高度及美观要求的前提下，尽可能降低灯具的安装高度。</w:t>
      </w:r>
    </w:p>
    <w:p>
      <w:pPr>
        <w:bidi w:val="0"/>
        <w:rPr>
          <w:rFonts w:hint="default"/>
          <w:color w:val="auto"/>
          <w:lang w:val="en-US" w:eastAsia="zh-CN"/>
        </w:rPr>
      </w:pPr>
      <w:r>
        <w:rPr>
          <w:rFonts w:hint="default"/>
          <w:color w:val="auto"/>
          <w:lang w:val="en-US" w:eastAsia="zh-CN"/>
        </w:rPr>
        <w:t>合理设置局部照明，对于高大空间区域，在高处采用一般照明方式，对于有高照度要求的地方，设置局部照明。</w:t>
      </w:r>
    </w:p>
    <w:p>
      <w:pPr>
        <w:bidi w:val="0"/>
        <w:rPr>
          <w:rFonts w:hint="default"/>
          <w:color w:val="auto"/>
          <w:lang w:val="en-US" w:eastAsia="zh-CN"/>
        </w:rPr>
      </w:pPr>
      <w:r>
        <w:rPr>
          <w:rFonts w:hint="default"/>
          <w:color w:val="auto"/>
          <w:lang w:val="en-US" w:eastAsia="zh-CN"/>
        </w:rPr>
        <w:t>应选择电子镇流器或节能型高功率因数电感镇流器。</w:t>
      </w:r>
    </w:p>
    <w:p>
      <w:pPr>
        <w:bidi w:val="0"/>
        <w:rPr>
          <w:rFonts w:hint="default"/>
          <w:color w:val="auto"/>
          <w:lang w:val="en-US" w:eastAsia="zh-CN"/>
        </w:rPr>
      </w:pPr>
      <w:r>
        <w:rPr>
          <w:rFonts w:hint="default"/>
          <w:color w:val="auto"/>
          <w:lang w:val="en-US" w:eastAsia="zh-CN"/>
        </w:rPr>
        <w:t>主照明电源线路应尽可能采用三相供电，以减少电压损失，并应尽量使三相负荷平衡，以免影响光源的发光效率。</w:t>
      </w:r>
    </w:p>
    <w:p>
      <w:pPr>
        <w:bidi w:val="0"/>
        <w:rPr>
          <w:rFonts w:hint="default"/>
          <w:color w:val="auto"/>
          <w:lang w:val="en-US" w:eastAsia="zh-CN"/>
        </w:rPr>
      </w:pPr>
      <w:r>
        <w:rPr>
          <w:rFonts w:hint="default"/>
          <w:color w:val="auto"/>
          <w:lang w:val="en-US" w:eastAsia="zh-CN"/>
        </w:rPr>
        <w:t>应根据建筑物的建筑特点、建筑功能、建筑标准、使用要求的具体情况，对照明系统进行分散或集中、手动或自动，经济实用、合理有效的控制。本工程门厅、大空间等场所的照明，采用集中控制，并按建筑使用条件或天然采光状况采取分区、分组控制；建筑的楼梯间、走廊等公共场所的照明，采用节能自熄开关，节能自熄开关采用红外线移动探测加光控的开关；室外景观照明采取平日、一般节日、重大节日等多模式控制。</w:t>
      </w:r>
    </w:p>
    <w:p>
      <w:pPr>
        <w:bidi w:val="0"/>
        <w:rPr>
          <w:rFonts w:hint="default"/>
          <w:color w:val="auto"/>
          <w:lang w:val="en-US" w:eastAsia="zh-CN"/>
        </w:rPr>
      </w:pPr>
      <w:r>
        <w:rPr>
          <w:rFonts w:hint="default"/>
          <w:color w:val="auto"/>
          <w:lang w:val="en-US" w:eastAsia="zh-CN"/>
        </w:rPr>
        <w:t>3．建筑设备的节能</w:t>
      </w:r>
    </w:p>
    <w:p>
      <w:pPr>
        <w:bidi w:val="0"/>
        <w:rPr>
          <w:rFonts w:hint="default"/>
          <w:color w:val="auto"/>
          <w:lang w:val="en-US" w:eastAsia="zh-CN"/>
        </w:rPr>
      </w:pPr>
      <w:r>
        <w:rPr>
          <w:rFonts w:hint="default"/>
          <w:color w:val="auto"/>
          <w:lang w:val="en-US" w:eastAsia="zh-CN"/>
        </w:rPr>
        <w:t>根据负荷特性合理选择电动机，采用高效率的电动机。电气转动系统中的设备、管网和负载应相匹配，使系统经济运行，提高系统电能利用率。对风量、流量经常变化的负荷，采用电动机调速运行的方式进行调节。</w:t>
      </w:r>
    </w:p>
    <w:p>
      <w:pPr>
        <w:pStyle w:val="4"/>
        <w:bidi w:val="0"/>
        <w:rPr>
          <w:rFonts w:hint="eastAsia"/>
          <w:color w:val="auto"/>
        </w:rPr>
      </w:pPr>
      <w:r>
        <w:rPr>
          <w:rFonts w:hint="eastAsia"/>
          <w:color w:val="auto"/>
        </w:rPr>
        <w:t>暖通节能设计</w:t>
      </w:r>
    </w:p>
    <w:p>
      <w:pPr>
        <w:bidi w:val="0"/>
        <w:rPr>
          <w:rFonts w:hint="default"/>
          <w:color w:val="auto"/>
          <w:lang w:val="en-US" w:eastAsia="zh-CN"/>
        </w:rPr>
      </w:pPr>
      <w:r>
        <w:rPr>
          <w:rFonts w:hint="eastAsia"/>
          <w:color w:val="auto"/>
          <w:lang w:val="en-US" w:eastAsia="zh-CN"/>
        </w:rPr>
        <w:t>1、</w:t>
      </w:r>
      <w:r>
        <w:rPr>
          <w:rFonts w:hint="default"/>
          <w:color w:val="auto"/>
          <w:lang w:val="en-US" w:eastAsia="zh-CN"/>
        </w:rPr>
        <w:t>建筑均采用分体空调，不低于GB12021.3-2010中能效等级2级的相应要求。</w:t>
      </w:r>
    </w:p>
    <w:p>
      <w:pPr>
        <w:bidi w:val="0"/>
        <w:rPr>
          <w:rFonts w:hint="default"/>
          <w:color w:val="auto"/>
          <w:lang w:val="en-US" w:eastAsia="zh-CN"/>
        </w:rPr>
      </w:pPr>
      <w:r>
        <w:rPr>
          <w:rFonts w:hint="eastAsia"/>
          <w:color w:val="auto"/>
          <w:lang w:val="en-US" w:eastAsia="zh-CN"/>
        </w:rPr>
        <w:t>2、</w:t>
      </w:r>
      <w:r>
        <w:rPr>
          <w:rFonts w:hint="default"/>
          <w:color w:val="auto"/>
          <w:lang w:val="en-US" w:eastAsia="zh-CN"/>
        </w:rPr>
        <w:t>所有通风设备均选用高效率，低噪声，低能耗的产品。通风系统的单位风量耗功率小于0.27W/(m3/h)。</w:t>
      </w:r>
    </w:p>
    <w:p>
      <w:pPr>
        <w:bidi w:val="0"/>
        <w:rPr>
          <w:rFonts w:hint="default"/>
          <w:color w:val="auto"/>
          <w:lang w:val="en-US" w:eastAsia="zh-CN"/>
        </w:rPr>
      </w:pPr>
      <w:r>
        <w:rPr>
          <w:rFonts w:hint="eastAsia"/>
          <w:color w:val="auto"/>
          <w:lang w:val="en-US" w:eastAsia="zh-CN"/>
        </w:rPr>
        <w:t>3、</w:t>
      </w:r>
      <w:r>
        <w:rPr>
          <w:rFonts w:hint="default"/>
          <w:color w:val="auto"/>
          <w:lang w:val="en-US" w:eastAsia="zh-CN"/>
        </w:rPr>
        <w:t>采用分体式空调，建筑设计中统一规划室外机的安装位置，确保分体机内外机连接长度不超过5m，便于室外机的安装和检修。</w:t>
      </w:r>
    </w:p>
    <w:p>
      <w:pPr>
        <w:pStyle w:val="2"/>
        <w:bidi w:val="0"/>
        <w:rPr>
          <w:color w:val="auto"/>
          <w:lang w:eastAsia="en-US"/>
        </w:rPr>
      </w:pPr>
      <w:r>
        <w:rPr>
          <w:rFonts w:hint="default"/>
          <w:color w:val="auto"/>
          <w:lang w:val="en-US" w:eastAsia="zh-CN"/>
        </w:rPr>
        <w:br w:type="column"/>
      </w:r>
      <w:r>
        <w:rPr>
          <w:rFonts w:hint="eastAsia"/>
          <w:color w:val="auto"/>
          <w:lang w:val="en-US" w:eastAsia="zh-CN"/>
        </w:rPr>
        <w:t>绿色建筑设计专篇</w:t>
      </w:r>
    </w:p>
    <w:p>
      <w:pPr>
        <w:pStyle w:val="3"/>
        <w:bidi w:val="0"/>
        <w:rPr>
          <w:rFonts w:hint="eastAsia"/>
          <w:color w:val="auto"/>
          <w:lang w:val="zh-CN" w:eastAsia="zh-CN"/>
        </w:rPr>
      </w:pPr>
      <w:bookmarkStart w:id="40" w:name="_Toc10706"/>
      <w:bookmarkStart w:id="41" w:name="_Toc2740"/>
      <w:r>
        <w:rPr>
          <w:rFonts w:hint="eastAsia"/>
          <w:color w:val="auto"/>
          <w:lang w:val="zh-CN" w:eastAsia="zh-CN"/>
        </w:rPr>
        <w:t>项目概况</w:t>
      </w:r>
      <w:bookmarkEnd w:id="40"/>
      <w:bookmarkEnd w:id="41"/>
    </w:p>
    <w:p>
      <w:pPr>
        <w:bidi w:val="0"/>
        <w:rPr>
          <w:rFonts w:hint="default"/>
          <w:color w:val="auto"/>
          <w:lang w:val="en-US" w:eastAsia="zh-CN"/>
        </w:rPr>
      </w:pPr>
      <w:r>
        <w:rPr>
          <w:rFonts w:hint="default"/>
          <w:color w:val="auto"/>
          <w:lang w:val="en-US" w:eastAsia="zh-CN"/>
        </w:rPr>
        <w:t>本项目为</w:t>
      </w:r>
      <w:r>
        <w:rPr>
          <w:rFonts w:hint="eastAsia"/>
          <w:color w:val="auto"/>
          <w:lang w:val="en-US" w:eastAsia="zh-CN"/>
        </w:rPr>
        <w:t>湖南汨罗高新技术产业开发区产城融合示范基地基础设施建设项目，位于</w:t>
      </w:r>
      <w:r>
        <w:rPr>
          <w:rFonts w:hint="eastAsia"/>
          <w:color w:val="auto"/>
          <w:lang w:eastAsia="zh-CN"/>
        </w:rPr>
        <w:t>汨罗市新市镇新阳社区，清云路与新市南路交汇处西南侧地块。</w:t>
      </w:r>
      <w:r>
        <w:rPr>
          <w:rFonts w:hint="eastAsia"/>
          <w:color w:val="auto"/>
          <w:lang w:val="en-US" w:eastAsia="zh-CN"/>
        </w:rPr>
        <w:t>建设单位为湖南汨罗高新技术产业开发区管理委员会。</w:t>
      </w:r>
    </w:p>
    <w:p>
      <w:pPr>
        <w:bidi w:val="0"/>
        <w:rPr>
          <w:color w:val="auto"/>
        </w:rPr>
      </w:pPr>
      <w:r>
        <w:rPr>
          <w:rFonts w:hint="eastAsia" w:ascii="仿宋" w:eastAsia="仿宋"/>
          <w:color w:val="auto"/>
          <w:lang w:val="en-US" w:eastAsia="zh-CN"/>
        </w:rPr>
        <w:t>项目用地41754.51㎡，约62.63亩，总建筑面积</w:t>
      </w:r>
      <w:r>
        <w:rPr>
          <w:rFonts w:hint="eastAsia"/>
          <w:color w:val="auto"/>
          <w:lang w:val="en-US" w:eastAsia="zh-CN"/>
        </w:rPr>
        <w:t>43957.00</w:t>
      </w:r>
      <w:r>
        <w:rPr>
          <w:rFonts w:hint="eastAsia" w:ascii="仿宋" w:eastAsia="仿宋"/>
          <w:color w:val="auto"/>
          <w:lang w:val="en-US" w:eastAsia="zh-CN"/>
        </w:rPr>
        <w:t>㎡，建筑占地面积</w:t>
      </w:r>
      <w:r>
        <w:rPr>
          <w:rFonts w:hint="eastAsia"/>
          <w:color w:val="auto"/>
          <w:lang w:val="en-US" w:eastAsia="zh-CN"/>
        </w:rPr>
        <w:t>15838.72</w:t>
      </w:r>
      <w:r>
        <w:rPr>
          <w:rFonts w:hint="eastAsia" w:ascii="仿宋" w:eastAsia="仿宋"/>
          <w:color w:val="auto"/>
          <w:lang w:val="en-US" w:eastAsia="zh-CN"/>
        </w:rPr>
        <w:t>㎡，计容面积</w:t>
      </w:r>
      <w:r>
        <w:rPr>
          <w:rFonts w:hint="eastAsia"/>
          <w:color w:val="auto"/>
          <w:lang w:val="en-US" w:eastAsia="zh-CN"/>
        </w:rPr>
        <w:t>42921.04</w:t>
      </w:r>
      <w:r>
        <w:rPr>
          <w:rFonts w:hint="eastAsia" w:ascii="仿宋" w:eastAsia="仿宋"/>
          <w:color w:val="auto"/>
          <w:lang w:val="en-US" w:eastAsia="zh-CN"/>
        </w:rPr>
        <w:t>㎡，容积率</w:t>
      </w:r>
      <w:r>
        <w:rPr>
          <w:rFonts w:hint="eastAsia"/>
          <w:color w:val="auto"/>
          <w:lang w:val="en-US" w:eastAsia="zh-CN"/>
        </w:rPr>
        <w:t>1.03</w:t>
      </w:r>
      <w:r>
        <w:rPr>
          <w:rFonts w:hint="eastAsia" w:ascii="仿宋" w:eastAsia="仿宋"/>
          <w:color w:val="auto"/>
          <w:lang w:val="en-US" w:eastAsia="zh-CN"/>
        </w:rPr>
        <w:t>，建筑密度</w:t>
      </w:r>
      <w:r>
        <w:rPr>
          <w:rFonts w:hint="eastAsia"/>
          <w:color w:val="auto"/>
          <w:lang w:val="en-US" w:eastAsia="zh-CN"/>
        </w:rPr>
        <w:t>37.93</w:t>
      </w:r>
      <w:r>
        <w:rPr>
          <w:rFonts w:hint="eastAsia" w:ascii="仿宋" w:eastAsia="仿宋"/>
          <w:color w:val="auto"/>
          <w:lang w:val="en-US" w:eastAsia="zh-CN"/>
        </w:rPr>
        <w:t>%，绿化率12.9%。</w:t>
      </w:r>
    </w:p>
    <w:p>
      <w:pPr>
        <w:bidi w:val="0"/>
        <w:rPr>
          <w:rFonts w:hint="default"/>
          <w:color w:val="auto"/>
          <w:lang w:val="en-US" w:eastAsia="zh-CN"/>
        </w:rPr>
      </w:pPr>
      <w:r>
        <w:rPr>
          <w:rFonts w:hint="default"/>
          <w:color w:val="auto"/>
          <w:lang w:val="en-US" w:eastAsia="zh-CN"/>
        </w:rPr>
        <w:t>本次建设内容：3栋三层标准厂房和1栋二层标准厂房</w:t>
      </w:r>
      <w:r>
        <w:rPr>
          <w:rFonts w:hint="eastAsia"/>
          <w:color w:val="auto"/>
          <w:lang w:val="en-US" w:eastAsia="zh-CN"/>
        </w:rPr>
        <w:t>37626.76</w:t>
      </w:r>
      <w:r>
        <w:rPr>
          <w:rFonts w:hint="default"/>
          <w:color w:val="auto"/>
          <w:lang w:val="en-US" w:eastAsia="zh-CN"/>
        </w:rPr>
        <w:t>㎡，1栋二层</w:t>
      </w:r>
      <w:r>
        <w:rPr>
          <w:rFonts w:hint="eastAsia"/>
          <w:color w:val="auto"/>
          <w:lang w:val="en-US" w:eastAsia="zh-CN"/>
        </w:rPr>
        <w:t>办公楼2409.00</w:t>
      </w:r>
      <w:r>
        <w:rPr>
          <w:rFonts w:hint="default"/>
          <w:color w:val="auto"/>
          <w:lang w:val="en-US" w:eastAsia="zh-CN"/>
        </w:rPr>
        <w:t>㎡，1栋三层的员工宿舍楼</w:t>
      </w:r>
      <w:r>
        <w:rPr>
          <w:rFonts w:hint="eastAsia"/>
          <w:color w:val="auto"/>
          <w:lang w:val="en-US" w:eastAsia="zh-CN"/>
        </w:rPr>
        <w:t>3683.24</w:t>
      </w:r>
      <w:r>
        <w:rPr>
          <w:rFonts w:hint="default"/>
          <w:color w:val="auto"/>
          <w:lang w:val="en-US" w:eastAsia="zh-CN"/>
        </w:rPr>
        <w:t>㎡，门卫</w:t>
      </w:r>
      <w:r>
        <w:rPr>
          <w:rFonts w:hint="eastAsia"/>
          <w:color w:val="auto"/>
          <w:lang w:val="en-US" w:eastAsia="zh-CN"/>
        </w:rPr>
        <w:t>室48</w:t>
      </w:r>
      <w:r>
        <w:rPr>
          <w:rFonts w:hint="default"/>
          <w:color w:val="auto"/>
          <w:lang w:val="en-US" w:eastAsia="zh-CN"/>
        </w:rPr>
        <w:t>㎡</w:t>
      </w:r>
      <w:r>
        <w:rPr>
          <w:rFonts w:hint="eastAsia"/>
          <w:color w:val="auto"/>
          <w:lang w:val="en-US" w:eastAsia="zh-CN"/>
        </w:rPr>
        <w:t>，设备</w:t>
      </w:r>
      <w:r>
        <w:rPr>
          <w:rFonts w:hint="default"/>
          <w:color w:val="auto"/>
          <w:lang w:val="en-US" w:eastAsia="zh-CN"/>
        </w:rPr>
        <w:t>用房</w:t>
      </w:r>
      <w:r>
        <w:rPr>
          <w:rFonts w:hint="eastAsia"/>
          <w:color w:val="auto"/>
          <w:lang w:val="en-US" w:eastAsia="zh-CN"/>
        </w:rPr>
        <w:t>190.00</w:t>
      </w:r>
      <w:r>
        <w:rPr>
          <w:rFonts w:hint="default"/>
          <w:color w:val="auto"/>
          <w:lang w:val="en-US" w:eastAsia="zh-CN"/>
        </w:rPr>
        <w:t>㎡，停车位</w:t>
      </w:r>
      <w:r>
        <w:rPr>
          <w:rFonts w:hint="eastAsia"/>
          <w:color w:val="auto"/>
          <w:lang w:val="en-US" w:eastAsia="zh-CN"/>
        </w:rPr>
        <w:t>101</w:t>
      </w:r>
      <w:r>
        <w:rPr>
          <w:rFonts w:hint="default"/>
          <w:color w:val="auto"/>
          <w:lang w:val="en-US" w:eastAsia="zh-CN"/>
        </w:rPr>
        <w:t>个，其中小车位</w:t>
      </w:r>
      <w:r>
        <w:rPr>
          <w:rFonts w:hint="eastAsia"/>
          <w:color w:val="auto"/>
          <w:lang w:val="en-US" w:eastAsia="zh-CN"/>
        </w:rPr>
        <w:t>66</w:t>
      </w:r>
      <w:r>
        <w:rPr>
          <w:rFonts w:hint="default"/>
          <w:color w:val="auto"/>
          <w:lang w:val="en-US" w:eastAsia="zh-CN"/>
        </w:rPr>
        <w:t>个（含2个无障碍车位和</w:t>
      </w:r>
      <w:r>
        <w:rPr>
          <w:rFonts w:hint="eastAsia"/>
          <w:color w:val="auto"/>
          <w:lang w:val="en-US" w:eastAsia="zh-CN"/>
        </w:rPr>
        <w:t>21</w:t>
      </w:r>
      <w:r>
        <w:rPr>
          <w:rFonts w:hint="default"/>
          <w:color w:val="auto"/>
          <w:lang w:val="en-US" w:eastAsia="zh-CN"/>
        </w:rPr>
        <w:t>个充电桩车位），货车车位</w:t>
      </w:r>
      <w:r>
        <w:rPr>
          <w:rFonts w:hint="eastAsia"/>
          <w:color w:val="auto"/>
          <w:lang w:val="en-US" w:eastAsia="zh-CN"/>
        </w:rPr>
        <w:t>12</w:t>
      </w:r>
      <w:r>
        <w:rPr>
          <w:rFonts w:hint="default"/>
          <w:color w:val="auto"/>
          <w:lang w:val="en-US" w:eastAsia="zh-CN"/>
        </w:rPr>
        <w:t>个，并配套建设给排水、供配电、消防工程、暖通、燃气、环卫设施和围墙等。</w:t>
      </w:r>
    </w:p>
    <w:p>
      <w:pPr>
        <w:bidi w:val="0"/>
        <w:rPr>
          <w:rFonts w:hint="default"/>
          <w:color w:val="auto"/>
          <w:lang w:val="en-US" w:eastAsia="zh-CN"/>
        </w:rPr>
      </w:pPr>
      <w:r>
        <w:rPr>
          <w:rFonts w:hint="default"/>
          <w:color w:val="auto"/>
          <w:lang w:val="en-US" w:eastAsia="zh-CN"/>
        </w:rPr>
        <w:t>本项目为框架结构，建筑设计使用年限为50年，耐火等级均为二级，各建筑屋面防水等级为</w:t>
      </w:r>
      <w:r>
        <w:rPr>
          <w:rFonts w:hint="eastAsia"/>
          <w:color w:val="auto"/>
          <w:lang w:val="en-US" w:eastAsia="zh-CN"/>
        </w:rPr>
        <w:t>一级</w:t>
      </w:r>
      <w:r>
        <w:rPr>
          <w:rFonts w:hint="default"/>
          <w:color w:val="auto"/>
          <w:lang w:val="en-US" w:eastAsia="zh-CN"/>
        </w:rPr>
        <w:t>，抗震设防烈度为6度（按7度采取抗震设防措施）。</w:t>
      </w:r>
    </w:p>
    <w:p>
      <w:pPr>
        <w:pStyle w:val="3"/>
        <w:bidi w:val="0"/>
        <w:rPr>
          <w:rFonts w:hint="eastAsia"/>
          <w:color w:val="auto"/>
          <w:lang w:val="en-US" w:eastAsia="zh-CN"/>
        </w:rPr>
      </w:pPr>
      <w:bookmarkStart w:id="42" w:name="_Toc16766"/>
      <w:bookmarkStart w:id="43" w:name="_Toc29709"/>
      <w:r>
        <w:rPr>
          <w:rFonts w:hint="eastAsia"/>
          <w:color w:val="auto"/>
          <w:lang w:val="en-US" w:eastAsia="zh-CN"/>
        </w:rPr>
        <w:t>设计目标</w:t>
      </w:r>
      <w:bookmarkEnd w:id="42"/>
      <w:bookmarkEnd w:id="43"/>
    </w:p>
    <w:p>
      <w:pPr>
        <w:bidi w:val="0"/>
        <w:rPr>
          <w:rFonts w:hint="eastAsia"/>
          <w:color w:val="auto"/>
          <w:lang w:val="en-US" w:eastAsia="zh-CN"/>
        </w:rPr>
      </w:pPr>
      <w:r>
        <w:rPr>
          <w:rFonts w:hint="eastAsia"/>
          <w:color w:val="auto"/>
          <w:lang w:val="en-US" w:eastAsia="zh-CN"/>
        </w:rPr>
        <w:t>绿色建筑设计目标：绿色建筑基本级。</w:t>
      </w:r>
    </w:p>
    <w:p>
      <w:pPr>
        <w:bidi w:val="0"/>
        <w:rPr>
          <w:rFonts w:hint="eastAsia"/>
          <w:color w:val="auto"/>
          <w:lang w:val="en-US" w:eastAsia="zh-CN"/>
        </w:rPr>
      </w:pPr>
      <w:r>
        <w:rPr>
          <w:rFonts w:hint="eastAsia"/>
          <w:color w:val="auto"/>
          <w:lang w:val="en-US" w:eastAsia="zh-CN"/>
        </w:rPr>
        <w:t>根据《绿色建筑评价标准》（GB/T50378-2019）中关于绿色建筑星级要求的规定，以下分析将结合项目实际状况，本着经济适用的原则，制定绿色建筑技术策略。</w:t>
      </w:r>
    </w:p>
    <w:p>
      <w:pPr>
        <w:pStyle w:val="3"/>
        <w:bidi w:val="0"/>
        <w:rPr>
          <w:rFonts w:hint="eastAsia"/>
          <w:color w:val="auto"/>
          <w:lang w:val="en-US" w:eastAsia="zh-CN"/>
        </w:rPr>
      </w:pPr>
      <w:bookmarkStart w:id="44" w:name="_Toc4860"/>
      <w:bookmarkStart w:id="45" w:name="_Toc3478"/>
      <w:r>
        <w:rPr>
          <w:rFonts w:hint="eastAsia"/>
          <w:color w:val="auto"/>
          <w:lang w:val="en-US" w:eastAsia="zh-CN"/>
        </w:rPr>
        <w:t>设计依据</w:t>
      </w:r>
      <w:bookmarkEnd w:id="44"/>
      <w:bookmarkEnd w:id="45"/>
    </w:p>
    <w:p>
      <w:pPr>
        <w:bidi w:val="0"/>
        <w:rPr>
          <w:rFonts w:hint="eastAsia"/>
          <w:color w:val="auto"/>
        </w:rPr>
      </w:pPr>
      <w:r>
        <w:rPr>
          <w:color w:val="auto"/>
        </w:rPr>
        <w:t>《绿色建筑评价标准》（GB/T50378-2019）</w:t>
      </w:r>
      <w:r>
        <w:rPr>
          <w:rFonts w:hint="eastAsia"/>
          <w:color w:val="auto"/>
        </w:rPr>
        <w:t>；</w:t>
      </w:r>
    </w:p>
    <w:p>
      <w:pPr>
        <w:bidi w:val="0"/>
        <w:rPr>
          <w:rFonts w:hint="eastAsia"/>
          <w:color w:val="auto"/>
        </w:rPr>
      </w:pPr>
      <w:r>
        <w:rPr>
          <w:rFonts w:hint="eastAsia"/>
          <w:color w:val="auto"/>
        </w:rPr>
        <w:t>《民用建筑热工设计规范》GB50176-2016；</w:t>
      </w:r>
    </w:p>
    <w:p>
      <w:pPr>
        <w:bidi w:val="0"/>
        <w:rPr>
          <w:rFonts w:hint="eastAsia"/>
          <w:color w:val="auto"/>
          <w:lang w:val="en-US" w:eastAsia="zh-CN"/>
        </w:rPr>
      </w:pPr>
      <w:r>
        <w:rPr>
          <w:rFonts w:hint="eastAsia"/>
          <w:color w:val="auto"/>
          <w:lang w:val="en-US" w:eastAsia="zh-CN"/>
        </w:rPr>
        <w:t>《建筑节能与可再生能源利用通用规范》GB55015-2021；</w:t>
      </w:r>
    </w:p>
    <w:p>
      <w:pPr>
        <w:pStyle w:val="3"/>
        <w:bidi w:val="0"/>
        <w:rPr>
          <w:rFonts w:hint="eastAsia"/>
          <w:color w:val="auto"/>
          <w:lang w:val="en-US" w:eastAsia="zh-CN"/>
        </w:rPr>
      </w:pPr>
      <w:bookmarkStart w:id="46" w:name="_Toc17790"/>
      <w:bookmarkStart w:id="47" w:name="_Toc12831"/>
      <w:r>
        <w:rPr>
          <w:rFonts w:hint="eastAsia"/>
          <w:color w:val="auto"/>
          <w:lang w:val="en-US" w:eastAsia="zh-CN"/>
        </w:rPr>
        <w:t>绿建设计主要措施</w:t>
      </w:r>
      <w:bookmarkEnd w:id="46"/>
      <w:bookmarkEnd w:id="47"/>
    </w:p>
    <w:p>
      <w:pPr>
        <w:pStyle w:val="4"/>
        <w:bidi w:val="0"/>
        <w:rPr>
          <w:color w:val="auto"/>
          <w:lang w:val="en-US" w:eastAsia="zh-CN"/>
        </w:rPr>
      </w:pPr>
      <w:r>
        <w:rPr>
          <w:color w:val="auto"/>
          <w:lang w:val="en-US" w:eastAsia="zh-CN"/>
        </w:rPr>
        <w:t>规划和总平面：</w:t>
      </w:r>
    </w:p>
    <w:p>
      <w:pPr>
        <w:bidi w:val="0"/>
        <w:rPr>
          <w:color w:val="auto"/>
        </w:rPr>
      </w:pPr>
      <w:r>
        <w:rPr>
          <w:color w:val="auto"/>
        </w:rPr>
        <w:t>1、项目场地内不存在本地区文物、历史建筑、风景名胜、自然水系、湿地、基本农田、森林植被和其他保护区。场地内无需要保留的建筑物。据现场调查，所在区域属于城市生态环境，未发现珍稀动、植物物种。</w:t>
      </w:r>
    </w:p>
    <w:p>
      <w:pPr>
        <w:bidi w:val="0"/>
        <w:rPr>
          <w:color w:val="auto"/>
        </w:rPr>
      </w:pPr>
      <w:r>
        <w:rPr>
          <w:color w:val="auto"/>
        </w:rPr>
        <w:t>2、场地勘察深度范围内未发现其他不良地质作用，场地稳定性良好，宜于建设。场地选址无洪涝灾害、泥石流、滑坡、地陷等地质灾害和含氡土壤的威胁。</w:t>
      </w:r>
    </w:p>
    <w:p>
      <w:pPr>
        <w:bidi w:val="0"/>
        <w:rPr>
          <w:color w:val="auto"/>
        </w:rPr>
      </w:pPr>
      <w:r>
        <w:rPr>
          <w:color w:val="auto"/>
        </w:rPr>
        <w:t>3、本项目土壤含氡浓度符合《民用建筑工程室内环境污染控制规范》GB50325-2010规定的要求，结果平均值小于20000（Bq/m</w:t>
      </w:r>
      <w:r>
        <w:rPr>
          <w:rFonts w:hint="eastAsia"/>
          <w:color w:val="auto"/>
        </w:rPr>
        <w:t>³</w:t>
      </w:r>
      <w:r>
        <w:rPr>
          <w:color w:val="auto"/>
        </w:rPr>
        <w:t>）可不采取防氡工程措施。</w:t>
      </w:r>
    </w:p>
    <w:p>
      <w:pPr>
        <w:bidi w:val="0"/>
        <w:rPr>
          <w:color w:val="auto"/>
        </w:rPr>
      </w:pPr>
      <w:r>
        <w:rPr>
          <w:color w:val="auto"/>
        </w:rPr>
        <w:t>4、该项目经过合理规划和处理，场地内运营期无超标的污染源（废水、废气、噪声、固体废弃物）。</w:t>
      </w:r>
    </w:p>
    <w:p>
      <w:pPr>
        <w:bidi w:val="0"/>
        <w:rPr>
          <w:color w:val="auto"/>
        </w:rPr>
      </w:pPr>
      <w:r>
        <w:rPr>
          <w:color w:val="auto"/>
        </w:rPr>
        <w:t>5、建筑平面、空间布局合理，主要功能房间的室内噪声级满足现行国家标准《民用建筑隔声设计规范》GB50118中的低限要求。</w:t>
      </w:r>
    </w:p>
    <w:p>
      <w:pPr>
        <w:bidi w:val="0"/>
        <w:rPr>
          <w:color w:val="auto"/>
        </w:rPr>
      </w:pPr>
      <w:r>
        <w:rPr>
          <w:rFonts w:hint="eastAsia"/>
          <w:color w:val="auto"/>
        </w:rPr>
        <w:t>6</w:t>
      </w:r>
      <w:r>
        <w:rPr>
          <w:color w:val="auto"/>
        </w:rPr>
        <w:t>、本项目利用乔木、灌木形成复层绿化，不但可为行人提供遮阳、游憩的良好条件，还可以改善住区的生态环境。根据当地的气候条件和植物自然分布特点，栽植多种类型植物，乔、灌、草结合构成多层次的植物群落。</w:t>
      </w:r>
    </w:p>
    <w:p>
      <w:pPr>
        <w:bidi w:val="0"/>
        <w:rPr>
          <w:color w:val="auto"/>
        </w:rPr>
      </w:pPr>
      <w:r>
        <w:rPr>
          <w:rFonts w:hint="eastAsia"/>
          <w:color w:val="auto"/>
        </w:rPr>
        <w:t>7</w:t>
      </w:r>
      <w:r>
        <w:rPr>
          <w:color w:val="auto"/>
        </w:rPr>
        <w:t>、场地内人行通道及场地内外联系的无障碍设计是绿色出行的重要组成部分，是保障各类人群方便、安全出行的基本设施。该项目在场地内人行通道与场地外人行通道的连接处、建筑入口等位置均设置了无障碍设施。</w:t>
      </w:r>
    </w:p>
    <w:p>
      <w:pPr>
        <w:bidi w:val="0"/>
        <w:rPr>
          <w:color w:val="auto"/>
        </w:rPr>
      </w:pPr>
      <w:r>
        <w:rPr>
          <w:color w:val="auto"/>
        </w:rPr>
        <w:t>9、本项目设置非机动车停车位，并设置了遮阳雨棚</w:t>
      </w:r>
      <w:r>
        <w:rPr>
          <w:rFonts w:hint="eastAsia"/>
          <w:color w:val="auto"/>
        </w:rPr>
        <w:t>，</w:t>
      </w:r>
      <w:r>
        <w:rPr>
          <w:color w:val="auto"/>
        </w:rPr>
        <w:t>出入方便，位置合理。</w:t>
      </w:r>
    </w:p>
    <w:p>
      <w:pPr>
        <w:pStyle w:val="4"/>
        <w:bidi w:val="0"/>
        <w:rPr>
          <w:color w:val="auto"/>
          <w:lang w:val="en-US" w:eastAsia="zh-CN"/>
        </w:rPr>
      </w:pPr>
      <w:r>
        <w:rPr>
          <w:color w:val="auto"/>
          <w:lang w:val="en-US" w:eastAsia="zh-CN"/>
        </w:rPr>
        <w:t>建筑设计：</w:t>
      </w:r>
    </w:p>
    <w:p>
      <w:pPr>
        <w:bidi w:val="0"/>
        <w:rPr>
          <w:color w:val="auto"/>
        </w:rPr>
      </w:pPr>
      <w:r>
        <w:rPr>
          <w:color w:val="auto"/>
        </w:rPr>
        <w:t>1、建筑设计符合国家湖南省和</w:t>
      </w:r>
      <w:r>
        <w:rPr>
          <w:rFonts w:hint="eastAsia"/>
          <w:color w:val="auto"/>
          <w:lang w:val="en-US" w:eastAsia="zh-CN"/>
        </w:rPr>
        <w:t>汨罗市</w:t>
      </w:r>
      <w:r>
        <w:rPr>
          <w:color w:val="auto"/>
        </w:rPr>
        <w:t>现行相关建筑节能设计标准中强制性条文的规定。</w:t>
      </w:r>
    </w:p>
    <w:p>
      <w:pPr>
        <w:bidi w:val="0"/>
        <w:rPr>
          <w:color w:val="auto"/>
        </w:rPr>
      </w:pPr>
      <w:r>
        <w:rPr>
          <w:color w:val="auto"/>
        </w:rPr>
        <w:t>2、不采用国家、湖南省和</w:t>
      </w:r>
      <w:r>
        <w:rPr>
          <w:rFonts w:hint="eastAsia"/>
          <w:color w:val="auto"/>
          <w:lang w:val="en-US" w:eastAsia="zh-CN"/>
        </w:rPr>
        <w:t>汨罗市</w:t>
      </w:r>
      <w:r>
        <w:rPr>
          <w:color w:val="auto"/>
        </w:rPr>
        <w:t>禁止或限制使用的建筑材料及制品。</w:t>
      </w:r>
    </w:p>
    <w:p>
      <w:pPr>
        <w:bidi w:val="0"/>
        <w:rPr>
          <w:color w:val="auto"/>
        </w:rPr>
      </w:pPr>
      <w:r>
        <w:rPr>
          <w:rFonts w:hint="eastAsia"/>
          <w:color w:val="auto"/>
        </w:rPr>
        <w:t>3</w:t>
      </w:r>
      <w:r>
        <w:rPr>
          <w:color w:val="auto"/>
        </w:rPr>
        <w:t>、项目不选用选用国家标准《建筑抗震设计规范》GB50011-2010中规定的特别不规则和严重不规则的建筑形体。</w:t>
      </w:r>
    </w:p>
    <w:p>
      <w:pPr>
        <w:bidi w:val="0"/>
        <w:rPr>
          <w:color w:val="auto"/>
        </w:rPr>
      </w:pPr>
      <w:r>
        <w:rPr>
          <w:rFonts w:hint="eastAsia"/>
          <w:color w:val="auto"/>
        </w:rPr>
        <w:t>4</w:t>
      </w:r>
      <w:r>
        <w:rPr>
          <w:color w:val="auto"/>
        </w:rPr>
        <w:t>、本项目各楼栋外窗可开启均大于30%。满足要求，有利于室内自然通风。</w:t>
      </w:r>
    </w:p>
    <w:p>
      <w:pPr>
        <w:bidi w:val="0"/>
        <w:rPr>
          <w:color w:val="auto"/>
        </w:rPr>
      </w:pPr>
      <w:r>
        <w:rPr>
          <w:rFonts w:hint="eastAsia"/>
          <w:color w:val="auto"/>
        </w:rPr>
        <w:t>5</w:t>
      </w:r>
      <w:r>
        <w:rPr>
          <w:color w:val="auto"/>
        </w:rPr>
        <w:t>、项目的建筑热工性能指标符合国家、湖南省和</w:t>
      </w:r>
      <w:r>
        <w:rPr>
          <w:rFonts w:hint="eastAsia"/>
          <w:color w:val="auto"/>
          <w:lang w:val="en-US" w:eastAsia="zh-CN"/>
        </w:rPr>
        <w:t>汨罗市</w:t>
      </w:r>
      <w:r>
        <w:rPr>
          <w:color w:val="auto"/>
        </w:rPr>
        <w:t>现行相关建筑节能设计标准的有关规定。</w:t>
      </w:r>
    </w:p>
    <w:p>
      <w:pPr>
        <w:bidi w:val="0"/>
        <w:rPr>
          <w:color w:val="auto"/>
        </w:rPr>
      </w:pPr>
      <w:r>
        <w:rPr>
          <w:rFonts w:hint="eastAsia"/>
          <w:color w:val="auto"/>
        </w:rPr>
        <w:t>6</w:t>
      </w:r>
      <w:r>
        <w:rPr>
          <w:color w:val="auto"/>
        </w:rPr>
        <w:t>、建筑平面、空间布局合理，主要功能房间的室内噪声应满足现行国家标准《民用建筑隔声设计规范》GB50118中的低限要求</w:t>
      </w:r>
    </w:p>
    <w:p>
      <w:pPr>
        <w:bidi w:val="0"/>
        <w:rPr>
          <w:color w:val="auto"/>
        </w:rPr>
      </w:pPr>
      <w:r>
        <w:rPr>
          <w:rFonts w:hint="eastAsia"/>
          <w:color w:val="auto"/>
        </w:rPr>
        <w:t>7</w:t>
      </w:r>
      <w:r>
        <w:rPr>
          <w:color w:val="auto"/>
        </w:rPr>
        <w:t>、主要功能房间的外墙、隔墙、楼板和门窗的隔声性能应满足现行国家标准《民用建筑隔声设计规范》GB50118中的低限要求，构件及相邻房间之间的空气隔声性能应达到该标准中低限标准限制和高要求标准限值的平均值”的要求。</w:t>
      </w:r>
    </w:p>
    <w:p>
      <w:pPr>
        <w:pStyle w:val="4"/>
        <w:bidi w:val="0"/>
        <w:rPr>
          <w:color w:val="auto"/>
          <w:lang w:val="en-US" w:eastAsia="zh-CN"/>
        </w:rPr>
      </w:pPr>
      <w:r>
        <w:rPr>
          <w:color w:val="auto"/>
          <w:lang w:val="en-US" w:eastAsia="zh-CN"/>
        </w:rPr>
        <w:t>结构设计：</w:t>
      </w:r>
    </w:p>
    <w:p>
      <w:pPr>
        <w:bidi w:val="0"/>
        <w:rPr>
          <w:color w:val="auto"/>
        </w:rPr>
      </w:pPr>
      <w:r>
        <w:rPr>
          <w:color w:val="auto"/>
        </w:rPr>
        <w:t>1、本项目建筑砂浆全部采用预拌砂浆。</w:t>
      </w:r>
    </w:p>
    <w:p>
      <w:pPr>
        <w:bidi w:val="0"/>
        <w:rPr>
          <w:color w:val="auto"/>
        </w:rPr>
      </w:pPr>
      <w:r>
        <w:rPr>
          <w:color w:val="auto"/>
        </w:rPr>
        <w:t>2、本项目现场所有现浇混凝土均采用预拌混凝土。</w:t>
      </w:r>
    </w:p>
    <w:p>
      <w:pPr>
        <w:bidi w:val="0"/>
        <w:rPr>
          <w:color w:val="auto"/>
        </w:rPr>
      </w:pPr>
      <w:r>
        <w:rPr>
          <w:color w:val="auto"/>
        </w:rPr>
        <w:t>3、合理采用高强建筑结构材料（梁、柱纵向受力普通钢筋均采用不低于400MPa级的热扎带肋钢筋，混凝土结构中400MPa级及以上受力普通钢筋（包括梁、柱、墙、板、基础等构件中的纵向受力筋及箍筋）的用量达到钢筋总量的30%以上）。</w:t>
      </w:r>
    </w:p>
    <w:p>
      <w:pPr>
        <w:bidi w:val="0"/>
        <w:rPr>
          <w:color w:val="auto"/>
        </w:rPr>
      </w:pPr>
      <w:r>
        <w:rPr>
          <w:rFonts w:hint="eastAsia"/>
          <w:color w:val="auto"/>
        </w:rPr>
        <w:t>4、本项目在保证安全的情况下，合理使用可再利用建筑材料和可再循环材料，其质量之和占建筑材料总质量的比例不小于10%。</w:t>
      </w:r>
    </w:p>
    <w:p>
      <w:pPr>
        <w:bidi w:val="0"/>
        <w:rPr>
          <w:color w:val="auto"/>
        </w:rPr>
      </w:pPr>
      <w:r>
        <w:rPr>
          <w:rFonts w:hint="eastAsia"/>
          <w:color w:val="auto"/>
        </w:rPr>
        <w:t>5、本工程生产产地距施工现场500km以内的建筑材料占总建筑材料用量比例不低于90%。</w:t>
      </w:r>
    </w:p>
    <w:p>
      <w:pPr>
        <w:bidi w:val="0"/>
        <w:rPr>
          <w:color w:val="auto"/>
        </w:rPr>
      </w:pPr>
      <w:r>
        <w:rPr>
          <w:rFonts w:hint="eastAsia"/>
          <w:color w:val="auto"/>
        </w:rPr>
        <w:t>6</w:t>
      </w:r>
      <w:r>
        <w:rPr>
          <w:color w:val="auto"/>
        </w:rPr>
        <w:t>、项目造型简约，未采用大量的装饰性构建，公共建筑相关装饰性构建造价比例未超过工程总造价的5‰，居住建筑相关装饰性构建造价比例未超过工程总造价的2%。</w:t>
      </w:r>
    </w:p>
    <w:p>
      <w:pPr>
        <w:pStyle w:val="4"/>
        <w:bidi w:val="0"/>
        <w:rPr>
          <w:color w:val="auto"/>
          <w:lang w:val="en-US" w:eastAsia="zh-CN"/>
        </w:rPr>
      </w:pPr>
      <w:r>
        <w:rPr>
          <w:color w:val="auto"/>
          <w:lang w:val="en-US" w:eastAsia="zh-CN"/>
        </w:rPr>
        <w:t>电气设计</w:t>
      </w:r>
    </w:p>
    <w:p>
      <w:pPr>
        <w:bidi w:val="0"/>
        <w:rPr>
          <w:color w:val="auto"/>
        </w:rPr>
      </w:pPr>
      <w:r>
        <w:rPr>
          <w:color w:val="auto"/>
        </w:rPr>
        <w:t>1、本项目采取相关措施避免室外夜景照明产生光污染。</w:t>
      </w:r>
    </w:p>
    <w:p>
      <w:pPr>
        <w:bidi w:val="0"/>
        <w:rPr>
          <w:color w:val="auto"/>
        </w:rPr>
      </w:pPr>
      <w:r>
        <w:rPr>
          <w:color w:val="auto"/>
        </w:rPr>
        <w:t>2、公共空间照明功率度值不高于现行国家标准《建筑照明设计标准》GB50034规定的现行值。</w:t>
      </w:r>
    </w:p>
    <w:p>
      <w:pPr>
        <w:bidi w:val="0"/>
        <w:rPr>
          <w:color w:val="auto"/>
        </w:rPr>
      </w:pPr>
      <w:r>
        <w:rPr>
          <w:color w:val="auto"/>
        </w:rPr>
        <w:t>3、本项目走廊、楼梯间等区域的照明系统采取分区控制等节能控制措施。</w:t>
      </w:r>
    </w:p>
    <w:p>
      <w:pPr>
        <w:pStyle w:val="4"/>
        <w:bidi w:val="0"/>
        <w:rPr>
          <w:color w:val="auto"/>
          <w:lang w:val="en-US" w:eastAsia="zh-CN"/>
        </w:rPr>
      </w:pPr>
      <w:r>
        <w:rPr>
          <w:color w:val="auto"/>
          <w:lang w:val="en-US" w:eastAsia="zh-CN"/>
        </w:rPr>
        <w:t>给排水设计</w:t>
      </w:r>
    </w:p>
    <w:p>
      <w:pPr>
        <w:bidi w:val="0"/>
        <w:rPr>
          <w:color w:val="auto"/>
        </w:rPr>
      </w:pPr>
      <w:r>
        <w:rPr>
          <w:color w:val="auto"/>
        </w:rPr>
        <w:t>1、采取变频措施进行供水系统加压；实行雨污分流；采取高性能阀门等措施对管道阀门漏水、渗水情况进行预防。</w:t>
      </w:r>
    </w:p>
    <w:p>
      <w:pPr>
        <w:bidi w:val="0"/>
        <w:rPr>
          <w:color w:val="auto"/>
        </w:rPr>
      </w:pPr>
      <w:r>
        <w:rPr>
          <w:color w:val="auto"/>
        </w:rPr>
        <w:t>2、</w:t>
      </w:r>
      <w:r>
        <w:rPr>
          <w:rFonts w:hint="eastAsia"/>
          <w:color w:val="auto"/>
        </w:rPr>
        <w:t>用水器具符合城镇建设行业标准《节水型生活用水器具》（CJ/T164-2014）的要求，不使用一次冲水量大于6L的坐便器，卫生器具的用水效率达到二级标准。</w:t>
      </w:r>
    </w:p>
    <w:p>
      <w:pPr>
        <w:bidi w:val="0"/>
        <w:rPr>
          <w:color w:val="auto"/>
        </w:rPr>
      </w:pPr>
      <w:r>
        <w:rPr>
          <w:color w:val="auto"/>
        </w:rPr>
        <w:t>3、采用了高性能阀门、零泄漏阀门、合理设计供水压力、室外埋地管道保护、水箱、水池溢流报警装置、进水阀门自动联动装置、分级计量水表等装置和措施避免管网漏损。</w:t>
      </w:r>
    </w:p>
    <w:p>
      <w:pPr>
        <w:bidi w:val="0"/>
        <w:rPr>
          <w:color w:val="auto"/>
        </w:rPr>
      </w:pPr>
      <w:r>
        <w:rPr>
          <w:rFonts w:hint="eastAsia"/>
          <w:color w:val="auto"/>
        </w:rPr>
        <w:t>4、水泵效率不低于现行国家标准《清水离心泵能效限定值及节能评价值》GB19762规定的节能评价值。</w:t>
      </w:r>
    </w:p>
    <w:p>
      <w:pPr>
        <w:bidi w:val="0"/>
        <w:rPr>
          <w:color w:val="auto"/>
        </w:rPr>
      </w:pPr>
      <w:r>
        <w:rPr>
          <w:rFonts w:hint="eastAsia"/>
          <w:color w:val="auto"/>
        </w:rPr>
        <w:t>5</w:t>
      </w:r>
      <w:r>
        <w:rPr>
          <w:color w:val="auto"/>
        </w:rPr>
        <w:t>、</w:t>
      </w:r>
      <w:r>
        <w:rPr>
          <w:rFonts w:hint="eastAsia"/>
          <w:color w:val="auto"/>
        </w:rPr>
        <w:t>充分</w:t>
      </w:r>
      <w:r>
        <w:rPr>
          <w:color w:val="auto"/>
        </w:rPr>
        <w:t>利用市政水压</w:t>
      </w:r>
      <w:r>
        <w:rPr>
          <w:rFonts w:hint="eastAsia"/>
          <w:color w:val="auto"/>
        </w:rPr>
        <w:t>，控制入户管的供水压力不大于0.35MPa</w:t>
      </w:r>
      <w:r>
        <w:rPr>
          <w:color w:val="auto"/>
        </w:rPr>
        <w:t>。</w:t>
      </w:r>
    </w:p>
    <w:p>
      <w:pPr>
        <w:bidi w:val="0"/>
        <w:rPr>
          <w:color w:val="auto"/>
        </w:rPr>
      </w:pPr>
      <w:r>
        <w:rPr>
          <w:rFonts w:hint="eastAsia"/>
          <w:color w:val="auto"/>
        </w:rPr>
        <w:t>6</w:t>
      </w:r>
      <w:r>
        <w:rPr>
          <w:color w:val="auto"/>
        </w:rPr>
        <w:t>、按付费或管理单元，分别设置用水计量装置。</w:t>
      </w:r>
    </w:p>
    <w:p>
      <w:pPr>
        <w:bidi w:val="0"/>
        <w:rPr>
          <w:color w:val="auto"/>
        </w:rPr>
      </w:pPr>
      <w:r>
        <w:rPr>
          <w:rFonts w:hint="eastAsia"/>
          <w:color w:val="auto"/>
        </w:rPr>
        <w:t>7</w:t>
      </w:r>
      <w:r>
        <w:rPr>
          <w:color w:val="auto"/>
        </w:rPr>
        <w:t>、绿化灌溉采用</w:t>
      </w:r>
      <w:r>
        <w:rPr>
          <w:rFonts w:hint="eastAsia"/>
          <w:color w:val="auto"/>
        </w:rPr>
        <w:t>微</w:t>
      </w:r>
      <w:r>
        <w:rPr>
          <w:color w:val="auto"/>
        </w:rPr>
        <w:t>喷灌节水高效的灌溉方式。</w:t>
      </w:r>
    </w:p>
    <w:p>
      <w:pPr>
        <w:pStyle w:val="4"/>
        <w:bidi w:val="0"/>
        <w:rPr>
          <w:color w:val="auto"/>
          <w:lang w:val="en-US" w:eastAsia="zh-CN"/>
        </w:rPr>
      </w:pPr>
      <w:r>
        <w:rPr>
          <w:color w:val="auto"/>
          <w:lang w:val="en-US" w:eastAsia="zh-CN"/>
        </w:rPr>
        <w:t>暖通设计</w:t>
      </w:r>
    </w:p>
    <w:p>
      <w:pPr>
        <w:bidi w:val="0"/>
        <w:rPr>
          <w:color w:val="auto"/>
        </w:rPr>
      </w:pPr>
      <w:r>
        <w:rPr>
          <w:color w:val="auto"/>
        </w:rPr>
        <w:t>1、项目采用节能环保型设备</w:t>
      </w:r>
      <w:r>
        <w:rPr>
          <w:rFonts w:hint="eastAsia"/>
          <w:color w:val="auto"/>
        </w:rPr>
        <w:t>，空调能效达到2级标准</w:t>
      </w:r>
      <w:r>
        <w:rPr>
          <w:color w:val="auto"/>
        </w:rPr>
        <w:t>。</w:t>
      </w:r>
    </w:p>
    <w:p>
      <w:pPr>
        <w:bidi w:val="0"/>
        <w:rPr>
          <w:color w:val="auto"/>
        </w:rPr>
      </w:pPr>
      <w:r>
        <w:rPr>
          <w:color w:val="auto"/>
          <w:spacing w:val="-20"/>
        </w:rPr>
        <w:t>2、</w:t>
      </w:r>
      <w:r>
        <w:rPr>
          <w:rFonts w:hint="eastAsia"/>
          <w:color w:val="auto"/>
          <w:spacing w:val="-20"/>
        </w:rPr>
        <w:t>项目空调系统为多联机，</w:t>
      </w:r>
      <w:r>
        <w:rPr>
          <w:color w:val="auto"/>
          <w:spacing w:val="-20"/>
        </w:rPr>
        <w:t>末端均可根据用户自身需求独立控制</w:t>
      </w:r>
      <w:r>
        <w:rPr>
          <w:color w:val="auto"/>
        </w:rPr>
        <w:t>。</w:t>
      </w:r>
    </w:p>
    <w:p>
      <w:pPr>
        <w:pStyle w:val="3"/>
        <w:bidi w:val="0"/>
        <w:rPr>
          <w:rFonts w:hint="eastAsia"/>
          <w:color w:val="auto"/>
          <w:lang w:val="en-US" w:eastAsia="zh-CN"/>
        </w:rPr>
      </w:pPr>
      <w:bookmarkStart w:id="48" w:name="_Toc31311"/>
      <w:bookmarkStart w:id="49" w:name="_Toc2220"/>
      <w:r>
        <w:rPr>
          <w:rFonts w:hint="eastAsia"/>
          <w:color w:val="auto"/>
          <w:lang w:val="en-US" w:eastAsia="zh-CN"/>
        </w:rPr>
        <w:t>技术体系</w:t>
      </w:r>
      <w:bookmarkEnd w:id="48"/>
      <w:bookmarkEnd w:id="49"/>
    </w:p>
    <w:tbl>
      <w:tblPr>
        <w:tblStyle w:val="14"/>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21"/>
        <w:gridCol w:w="63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Align w:val="center"/>
          </w:tcPr>
          <w:p>
            <w:pPr>
              <w:pStyle w:val="17"/>
              <w:bidi w:val="0"/>
              <w:rPr>
                <w:color w:val="auto"/>
                <w:lang w:val="en-US" w:eastAsia="zh-CN"/>
              </w:rPr>
            </w:pPr>
            <w:r>
              <w:rPr>
                <w:color w:val="auto"/>
                <w:lang w:val="en-US" w:eastAsia="zh-CN"/>
              </w:rPr>
              <w:t>技术类别</w:t>
            </w:r>
          </w:p>
        </w:tc>
        <w:tc>
          <w:tcPr>
            <w:tcW w:w="3453" w:type="pct"/>
            <w:tcBorders>
              <w:bottom w:val="single" w:color="auto" w:sz="4" w:space="0"/>
            </w:tcBorders>
            <w:vAlign w:val="center"/>
          </w:tcPr>
          <w:p>
            <w:pPr>
              <w:pStyle w:val="17"/>
              <w:bidi w:val="0"/>
              <w:rPr>
                <w:color w:val="auto"/>
                <w:lang w:val="en-US" w:eastAsia="zh-CN"/>
              </w:rPr>
            </w:pPr>
            <w:r>
              <w:rPr>
                <w:color w:val="auto"/>
                <w:lang w:val="en-US" w:eastAsia="zh-CN"/>
              </w:rPr>
              <w:t>绿色建筑技术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restart"/>
            <w:vAlign w:val="center"/>
          </w:tcPr>
          <w:p>
            <w:pPr>
              <w:pStyle w:val="17"/>
              <w:bidi w:val="0"/>
              <w:rPr>
                <w:color w:val="auto"/>
                <w:lang w:val="en-US" w:eastAsia="zh-CN"/>
              </w:rPr>
            </w:pPr>
            <w:r>
              <w:rPr>
                <w:rFonts w:hint="eastAsia"/>
                <w:color w:val="auto"/>
                <w:lang w:val="en-US" w:eastAsia="zh-CN"/>
              </w:rPr>
              <w:t>安全耐久</w:t>
            </w: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场地环境保护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结构</w:t>
            </w:r>
            <w:r>
              <w:rPr>
                <w:color w:val="auto"/>
                <w:lang w:val="en-US" w:eastAsia="zh-CN"/>
              </w:rPr>
              <w:t>和非结构构件</w:t>
            </w:r>
            <w:r>
              <w:rPr>
                <w:rFonts w:hint="eastAsia"/>
                <w:color w:val="auto"/>
                <w:lang w:val="en-US" w:eastAsia="zh-CN"/>
              </w:rPr>
              <w:t>、</w:t>
            </w:r>
            <w:r>
              <w:rPr>
                <w:color w:val="auto"/>
                <w:lang w:val="en-US" w:eastAsia="zh-CN"/>
              </w:rPr>
              <w:t>外部设施安全耐久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安全疏散和避难、应急交通、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门窗性能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引导标识系统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color w:val="auto"/>
                <w:lang w:val="en-US" w:eastAsia="zh-CN"/>
              </w:rPr>
              <w:t>建筑材料选择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防水防潮设计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restart"/>
            <w:vAlign w:val="center"/>
          </w:tcPr>
          <w:p>
            <w:pPr>
              <w:pStyle w:val="17"/>
              <w:bidi w:val="0"/>
              <w:rPr>
                <w:color w:val="auto"/>
                <w:lang w:val="en-US" w:eastAsia="zh-CN"/>
              </w:rPr>
            </w:pPr>
            <w:r>
              <w:rPr>
                <w:rFonts w:hint="eastAsia"/>
                <w:color w:val="auto"/>
                <w:lang w:val="en-US" w:eastAsia="zh-CN"/>
              </w:rPr>
              <w:t>健康</w:t>
            </w:r>
            <w:r>
              <w:rPr>
                <w:color w:val="auto"/>
                <w:lang w:val="en-US" w:eastAsia="zh-CN"/>
              </w:rPr>
              <w:t>舒适</w:t>
            </w: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室内空气质量、</w:t>
            </w:r>
            <w:r>
              <w:rPr>
                <w:color w:val="auto"/>
                <w:lang w:val="en-US" w:eastAsia="zh-CN"/>
              </w:rPr>
              <w:t>污染物控制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水质保障措施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隔声优化设计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照明节能措施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室内热环境舒适度保障措施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restart"/>
            <w:vAlign w:val="center"/>
          </w:tcPr>
          <w:p>
            <w:pPr>
              <w:pStyle w:val="17"/>
              <w:bidi w:val="0"/>
              <w:rPr>
                <w:color w:val="auto"/>
                <w:lang w:val="en-US" w:eastAsia="zh-CN"/>
              </w:rPr>
            </w:pPr>
            <w:r>
              <w:rPr>
                <w:rFonts w:hint="eastAsia"/>
                <w:color w:val="auto"/>
                <w:lang w:val="en-US" w:eastAsia="zh-CN"/>
              </w:rPr>
              <w:t>生活</w:t>
            </w:r>
            <w:r>
              <w:rPr>
                <w:color w:val="auto"/>
                <w:lang w:val="en-US" w:eastAsia="zh-CN"/>
              </w:rPr>
              <w:t>便利</w:t>
            </w: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无障碍</w:t>
            </w:r>
            <w:r>
              <w:rPr>
                <w:color w:val="auto"/>
                <w:lang w:val="en-US" w:eastAsia="zh-CN"/>
              </w:rPr>
              <w:t>步行系统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color w:val="auto"/>
                <w:lang w:val="en-US" w:eastAsia="zh-CN"/>
              </w:rPr>
              <w:t>交通便利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停车位配建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非机动车位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信息网络系统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restart"/>
            <w:vAlign w:val="center"/>
          </w:tcPr>
          <w:p>
            <w:pPr>
              <w:pStyle w:val="17"/>
              <w:bidi w:val="0"/>
              <w:rPr>
                <w:color w:val="auto"/>
                <w:lang w:val="en-US" w:eastAsia="zh-CN"/>
              </w:rPr>
            </w:pPr>
            <w:r>
              <w:rPr>
                <w:rFonts w:hint="eastAsia"/>
                <w:color w:val="auto"/>
                <w:lang w:val="en-US" w:eastAsia="zh-CN"/>
              </w:rPr>
              <w:t>资源节约</w:t>
            </w: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建筑</w:t>
            </w:r>
            <w:r>
              <w:rPr>
                <w:color w:val="auto"/>
                <w:lang w:val="en-US" w:eastAsia="zh-CN"/>
              </w:rPr>
              <w:t>节能优化设计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空调</w:t>
            </w:r>
            <w:r>
              <w:rPr>
                <w:color w:val="auto"/>
                <w:lang w:val="en-US" w:eastAsia="zh-CN"/>
              </w:rPr>
              <w:t>系统节能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分项及分级计量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电梯节能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color w:val="auto"/>
                <w:lang w:val="en-US" w:eastAsia="zh-CN"/>
              </w:rPr>
              <w:t>绿化节水技术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color w:val="auto"/>
                <w:lang w:val="en-US" w:eastAsia="zh-CN"/>
              </w:rPr>
              <w:t>节水器具与设备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建筑形体规则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本地建材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restart"/>
            <w:vAlign w:val="center"/>
          </w:tcPr>
          <w:p>
            <w:pPr>
              <w:pStyle w:val="17"/>
              <w:bidi w:val="0"/>
              <w:rPr>
                <w:color w:val="auto"/>
                <w:lang w:val="en-US" w:eastAsia="zh-CN"/>
              </w:rPr>
            </w:pPr>
            <w:r>
              <w:rPr>
                <w:rFonts w:hint="eastAsia"/>
                <w:color w:val="auto"/>
                <w:lang w:val="en-US" w:eastAsia="zh-CN"/>
              </w:rPr>
              <w:t>环境</w:t>
            </w:r>
            <w:r>
              <w:rPr>
                <w:color w:val="auto"/>
                <w:lang w:val="en-US" w:eastAsia="zh-CN"/>
              </w:rPr>
              <w:t>宜居</w:t>
            </w: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场地</w:t>
            </w:r>
            <w:r>
              <w:rPr>
                <w:color w:val="auto"/>
                <w:lang w:val="en-US" w:eastAsia="zh-CN"/>
              </w:rPr>
              <w:t>日照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color w:val="auto"/>
                <w:lang w:val="en-US" w:eastAsia="zh-CN"/>
              </w:rPr>
              <w:t>绿化种植系统（绿化率+乡土植物）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隔声降噪措施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46" w:type="pct"/>
            <w:vMerge w:val="continue"/>
            <w:vAlign w:val="center"/>
          </w:tcPr>
          <w:p>
            <w:pPr>
              <w:pStyle w:val="17"/>
              <w:bidi w:val="0"/>
              <w:rPr>
                <w:color w:val="auto"/>
                <w:lang w:val="en-US" w:eastAsia="zh-CN"/>
              </w:rPr>
            </w:pPr>
          </w:p>
        </w:tc>
        <w:tc>
          <w:tcPr>
            <w:tcW w:w="3453" w:type="pct"/>
            <w:tcBorders>
              <w:right w:val="single" w:color="auto" w:sz="4" w:space="0"/>
            </w:tcBorders>
            <w:vAlign w:val="center"/>
          </w:tcPr>
          <w:p>
            <w:pPr>
              <w:pStyle w:val="17"/>
              <w:bidi w:val="0"/>
              <w:rPr>
                <w:color w:val="auto"/>
                <w:lang w:val="en-US" w:eastAsia="zh-CN"/>
              </w:rPr>
            </w:pPr>
            <w:r>
              <w:rPr>
                <w:rFonts w:hint="eastAsia"/>
                <w:color w:val="auto"/>
                <w:lang w:val="en-US" w:eastAsia="zh-CN"/>
              </w:rPr>
              <w:t>垃圾分类收集管理</w:t>
            </w:r>
          </w:p>
        </w:tc>
      </w:tr>
    </w:tbl>
    <w:p>
      <w:pPr>
        <w:pStyle w:val="2"/>
        <w:bidi w:val="0"/>
        <w:rPr>
          <w:color w:val="auto"/>
          <w:lang w:eastAsia="en-US"/>
        </w:rPr>
      </w:pPr>
      <w:r>
        <w:rPr>
          <w:color w:val="auto"/>
          <w:lang w:eastAsia="en-US"/>
        </w:rPr>
        <w:br w:type="column"/>
      </w:r>
      <w:r>
        <w:rPr>
          <w:color w:val="auto"/>
          <w:lang w:eastAsia="en-US"/>
        </w:rPr>
        <w:t>无障碍设计</w:t>
      </w:r>
    </w:p>
    <w:p>
      <w:pPr>
        <w:pStyle w:val="3"/>
        <w:bidi w:val="0"/>
        <w:rPr>
          <w:rFonts w:hint="default"/>
          <w:color w:val="auto"/>
          <w:lang w:val="en-US" w:eastAsia="zh-CN"/>
        </w:rPr>
      </w:pPr>
      <w:r>
        <w:rPr>
          <w:rFonts w:hint="default"/>
          <w:color w:val="auto"/>
          <w:lang w:val="en-US" w:eastAsia="zh-CN"/>
        </w:rPr>
        <w:t>设计依据</w:t>
      </w:r>
    </w:p>
    <w:p>
      <w:pPr>
        <w:bidi w:val="0"/>
        <w:rPr>
          <w:rFonts w:hint="default"/>
          <w:color w:val="auto"/>
          <w:lang w:val="en-US" w:eastAsia="zh-CN"/>
        </w:rPr>
      </w:pPr>
      <w:r>
        <w:rPr>
          <w:rFonts w:hint="default"/>
          <w:color w:val="auto"/>
          <w:lang w:val="en-US" w:eastAsia="zh-CN"/>
        </w:rPr>
        <w:t>《民用建筑设计通则》GB50352-2005；</w:t>
      </w:r>
    </w:p>
    <w:p>
      <w:pPr>
        <w:bidi w:val="0"/>
        <w:rPr>
          <w:rFonts w:hint="default"/>
          <w:color w:val="auto"/>
          <w:lang w:val="en-US" w:eastAsia="zh-CN"/>
        </w:rPr>
      </w:pPr>
      <w:r>
        <w:rPr>
          <w:rFonts w:hint="default"/>
          <w:color w:val="auto"/>
          <w:lang w:val="en-US" w:eastAsia="zh-CN"/>
        </w:rPr>
        <w:t>《建筑设计防火规范》GB50016-2014（2018年版）；</w:t>
      </w:r>
    </w:p>
    <w:p>
      <w:pPr>
        <w:bidi w:val="0"/>
        <w:rPr>
          <w:rFonts w:hint="default"/>
          <w:color w:val="auto"/>
          <w:lang w:val="en-US" w:eastAsia="zh-CN"/>
        </w:rPr>
      </w:pPr>
      <w:r>
        <w:rPr>
          <w:rFonts w:hint="default"/>
          <w:color w:val="auto"/>
          <w:lang w:val="en-US" w:eastAsia="zh-CN"/>
        </w:rPr>
        <w:t>《无障碍设计规范》GB50763-2012；</w:t>
      </w:r>
    </w:p>
    <w:p>
      <w:pPr>
        <w:bidi w:val="0"/>
        <w:rPr>
          <w:rFonts w:hint="default"/>
          <w:color w:val="auto"/>
          <w:lang w:val="en-US" w:eastAsia="zh-CN"/>
        </w:rPr>
      </w:pPr>
      <w:r>
        <w:rPr>
          <w:rFonts w:hint="default"/>
          <w:color w:val="auto"/>
          <w:lang w:val="en-US" w:eastAsia="zh-CN"/>
        </w:rPr>
        <w:t>《工程建设标准强制性条文》房屋建筑部分2013年版；</w:t>
      </w:r>
    </w:p>
    <w:p>
      <w:pPr>
        <w:bidi w:val="0"/>
        <w:rPr>
          <w:rFonts w:hint="default"/>
          <w:color w:val="auto"/>
          <w:lang w:val="en-US" w:eastAsia="zh-CN"/>
        </w:rPr>
      </w:pPr>
      <w:r>
        <w:rPr>
          <w:rFonts w:hint="default"/>
          <w:color w:val="auto"/>
          <w:lang w:val="en-US" w:eastAsia="zh-CN"/>
        </w:rPr>
        <w:t>《建筑工程设计文件编制深度的规定》（2016年版）；</w:t>
      </w:r>
    </w:p>
    <w:p>
      <w:pPr>
        <w:bidi w:val="0"/>
        <w:rPr>
          <w:rFonts w:hint="default"/>
          <w:color w:val="auto"/>
          <w:lang w:val="en-US" w:eastAsia="zh-CN"/>
        </w:rPr>
      </w:pPr>
      <w:r>
        <w:rPr>
          <w:rFonts w:hint="default"/>
          <w:color w:val="auto"/>
          <w:lang w:val="en-US" w:eastAsia="zh-CN"/>
        </w:rPr>
        <w:t>《城市道路和建筑无障碍设计规范》JGJ50-2001；</w:t>
      </w:r>
    </w:p>
    <w:p>
      <w:pPr>
        <w:bidi w:val="0"/>
        <w:rPr>
          <w:rFonts w:hint="default"/>
          <w:color w:val="auto"/>
          <w:lang w:val="en-US" w:eastAsia="zh-CN"/>
        </w:rPr>
      </w:pPr>
      <w:r>
        <w:rPr>
          <w:rFonts w:hint="default"/>
          <w:color w:val="auto"/>
          <w:lang w:val="en-US" w:eastAsia="zh-CN"/>
        </w:rPr>
        <w:t>《建筑地面设计规范》GB50037-96；</w:t>
      </w:r>
    </w:p>
    <w:p>
      <w:pPr>
        <w:bidi w:val="0"/>
        <w:rPr>
          <w:rFonts w:hint="default"/>
          <w:color w:val="auto"/>
          <w:lang w:val="en-US" w:eastAsia="zh-CN"/>
        </w:rPr>
      </w:pPr>
      <w:r>
        <w:rPr>
          <w:rFonts w:hint="default"/>
          <w:color w:val="auto"/>
          <w:lang w:val="en-US" w:eastAsia="zh-CN"/>
        </w:rPr>
        <w:t>相关设计规范规程</w:t>
      </w:r>
    </w:p>
    <w:p>
      <w:pPr>
        <w:pStyle w:val="3"/>
        <w:bidi w:val="0"/>
        <w:rPr>
          <w:rFonts w:hint="default"/>
          <w:color w:val="auto"/>
          <w:lang w:val="en-US" w:eastAsia="zh-CN"/>
        </w:rPr>
      </w:pPr>
      <w:r>
        <w:rPr>
          <w:rFonts w:hint="default"/>
          <w:color w:val="auto"/>
          <w:lang w:val="en-US" w:eastAsia="zh-CN"/>
        </w:rPr>
        <w:t>项目概况</w:t>
      </w:r>
    </w:p>
    <w:p>
      <w:pPr>
        <w:bidi w:val="0"/>
        <w:rPr>
          <w:rFonts w:hint="default"/>
          <w:color w:val="auto"/>
          <w:lang w:val="en-US" w:eastAsia="zh-CN"/>
        </w:rPr>
      </w:pPr>
      <w:r>
        <w:rPr>
          <w:rFonts w:hint="default"/>
          <w:color w:val="auto"/>
          <w:lang w:val="en-US" w:eastAsia="zh-CN"/>
        </w:rPr>
        <w:t>详见总图及建筑业</w:t>
      </w:r>
    </w:p>
    <w:p>
      <w:pPr>
        <w:pStyle w:val="3"/>
        <w:bidi w:val="0"/>
        <w:rPr>
          <w:rFonts w:hint="default"/>
          <w:color w:val="auto"/>
          <w:lang w:val="en-US" w:eastAsia="zh-CN"/>
        </w:rPr>
      </w:pPr>
      <w:r>
        <w:rPr>
          <w:rFonts w:hint="default"/>
          <w:color w:val="auto"/>
          <w:lang w:val="en-US" w:eastAsia="zh-CN"/>
        </w:rPr>
        <w:t>具体要求与措施</w:t>
      </w:r>
    </w:p>
    <w:p>
      <w:pPr>
        <w:bidi w:val="0"/>
        <w:rPr>
          <w:rFonts w:hint="default"/>
          <w:color w:val="auto"/>
          <w:lang w:val="en-US" w:eastAsia="zh-CN"/>
        </w:rPr>
      </w:pPr>
      <w:r>
        <w:rPr>
          <w:rFonts w:hint="default"/>
          <w:color w:val="auto"/>
          <w:lang w:val="en-US" w:eastAsia="zh-CN"/>
        </w:rPr>
        <w:t>根据《无障碍设计规范》GB50763-2012的要求，标准厂房等生产建筑无需考虑无障碍设计，工业配套建筑均设置有无障碍设施，包括无障碍坡道、无障碍电梯、无障碍卫生间以及无障碍坐席、宿舍等。</w:t>
      </w:r>
    </w:p>
    <w:p>
      <w:pPr>
        <w:pStyle w:val="4"/>
        <w:bidi w:val="0"/>
        <w:rPr>
          <w:rFonts w:hint="default"/>
          <w:color w:val="auto"/>
          <w:lang w:val="en-US" w:eastAsia="zh-CN"/>
        </w:rPr>
      </w:pPr>
      <w:r>
        <w:rPr>
          <w:rFonts w:hint="default"/>
          <w:color w:val="auto"/>
          <w:lang w:val="en-US" w:eastAsia="zh-CN"/>
        </w:rPr>
        <w:t>道路、绿地、配套公共设施</w:t>
      </w:r>
    </w:p>
    <w:p>
      <w:pPr>
        <w:bidi w:val="0"/>
        <w:rPr>
          <w:rFonts w:hint="default"/>
          <w:color w:val="auto"/>
          <w:lang w:val="en-US" w:eastAsia="zh-CN"/>
        </w:rPr>
      </w:pPr>
      <w:r>
        <w:rPr>
          <w:rFonts w:hint="default"/>
          <w:color w:val="auto"/>
          <w:lang w:val="en-US" w:eastAsia="zh-CN"/>
        </w:rPr>
        <w:t>本项目新建人行道在各种路口、各种出入口和人行横道两端设置缘石坡道。人行道处的配套服务设施的设置应为残障人士提供方便。公共厕所、绿地、活动场地等均设无障碍措施。绿地和活动广场的主要出入口为无障碍出入口，并设有提示盲道。绿地内的游步道为无障碍通道，轮椅园路纵坡不大于4%，轮椅专用道不大于8%，不设台阶，休息座椅留有轮椅停留空间。林下铺装活动场地，林下净空不低于2.2m</w:t>
      </w:r>
      <w:r>
        <w:rPr>
          <w:rFonts w:hint="eastAsia"/>
          <w:color w:val="auto"/>
          <w:lang w:val="en-US" w:eastAsia="zh-CN"/>
        </w:rPr>
        <w:t>，</w:t>
      </w:r>
      <w:r>
        <w:rPr>
          <w:rFonts w:hint="default"/>
          <w:color w:val="auto"/>
          <w:lang w:val="en-US" w:eastAsia="zh-CN"/>
        </w:rPr>
        <w:t>本工程共设计停车位</w:t>
      </w:r>
      <w:r>
        <w:rPr>
          <w:rFonts w:hint="eastAsia"/>
          <w:color w:val="auto"/>
          <w:lang w:val="en-US" w:eastAsia="zh-CN"/>
        </w:rPr>
        <w:t>101</w:t>
      </w:r>
      <w:r>
        <w:rPr>
          <w:rFonts w:hint="default"/>
          <w:color w:val="auto"/>
          <w:lang w:val="en-US" w:eastAsia="zh-CN"/>
        </w:rPr>
        <w:t>个，其中共设计无障碍停车位</w:t>
      </w:r>
      <w:r>
        <w:rPr>
          <w:rFonts w:hint="eastAsia"/>
          <w:color w:val="auto"/>
          <w:lang w:val="en-US" w:eastAsia="zh-CN"/>
        </w:rPr>
        <w:t>2</w:t>
      </w:r>
      <w:r>
        <w:rPr>
          <w:rFonts w:hint="default"/>
          <w:color w:val="auto"/>
          <w:lang w:val="en-US" w:eastAsia="zh-CN"/>
        </w:rPr>
        <w:t>个。</w:t>
      </w:r>
    </w:p>
    <w:p>
      <w:pPr>
        <w:pStyle w:val="4"/>
        <w:bidi w:val="0"/>
        <w:rPr>
          <w:rFonts w:hint="default"/>
          <w:color w:val="auto"/>
          <w:lang w:val="en-US" w:eastAsia="zh-CN"/>
        </w:rPr>
      </w:pPr>
      <w:r>
        <w:rPr>
          <w:rFonts w:hint="default"/>
          <w:color w:val="auto"/>
          <w:lang w:val="en-US" w:eastAsia="zh-CN"/>
        </w:rPr>
        <w:t>建筑</w:t>
      </w:r>
    </w:p>
    <w:p>
      <w:pPr>
        <w:bidi w:val="0"/>
        <w:rPr>
          <w:rFonts w:hint="default"/>
          <w:color w:val="auto"/>
          <w:lang w:val="en-US" w:eastAsia="zh-CN"/>
        </w:rPr>
      </w:pPr>
      <w:r>
        <w:rPr>
          <w:rFonts w:hint="eastAsia"/>
          <w:color w:val="auto"/>
          <w:lang w:val="en-US" w:eastAsia="zh-CN"/>
        </w:rPr>
        <w:t>1、</w:t>
      </w:r>
      <w:r>
        <w:rPr>
          <w:rFonts w:hint="default"/>
          <w:color w:val="auto"/>
          <w:lang w:val="en-US" w:eastAsia="zh-CN"/>
        </w:rPr>
        <w:t>无障碍平坡出入口，坡度为1/20。</w:t>
      </w:r>
    </w:p>
    <w:p>
      <w:pPr>
        <w:bidi w:val="0"/>
        <w:rPr>
          <w:rFonts w:hint="default"/>
          <w:color w:val="auto"/>
          <w:lang w:val="en-US" w:eastAsia="zh-CN"/>
        </w:rPr>
      </w:pPr>
      <w:r>
        <w:rPr>
          <w:rFonts w:hint="eastAsia"/>
          <w:color w:val="auto"/>
          <w:lang w:val="en-US" w:eastAsia="zh-CN"/>
        </w:rPr>
        <w:t>2、</w:t>
      </w:r>
      <w:r>
        <w:rPr>
          <w:rFonts w:hint="default"/>
          <w:color w:val="auto"/>
          <w:lang w:val="en-US" w:eastAsia="zh-CN"/>
        </w:rPr>
        <w:t>各建筑单体入口平台低于室内建筑完成面标高15mm，以斜坡方式过渡。</w:t>
      </w:r>
    </w:p>
    <w:p>
      <w:pPr>
        <w:bidi w:val="0"/>
        <w:rPr>
          <w:rFonts w:hint="default"/>
          <w:color w:val="auto"/>
          <w:lang w:val="en-US" w:eastAsia="zh-CN"/>
        </w:rPr>
      </w:pPr>
      <w:r>
        <w:rPr>
          <w:rFonts w:hint="eastAsia"/>
          <w:color w:val="auto"/>
          <w:lang w:val="en-US" w:eastAsia="zh-CN"/>
        </w:rPr>
        <w:t>3、</w:t>
      </w:r>
      <w:r>
        <w:rPr>
          <w:rFonts w:hint="default"/>
          <w:color w:val="auto"/>
          <w:lang w:val="en-US" w:eastAsia="zh-CN"/>
        </w:rPr>
        <w:t>各建筑走廊均不小于1.2m。</w:t>
      </w:r>
    </w:p>
    <w:p>
      <w:pPr>
        <w:bidi w:val="0"/>
        <w:rPr>
          <w:rFonts w:hint="default"/>
          <w:color w:val="auto"/>
          <w:lang w:val="en-US" w:eastAsia="zh-CN"/>
        </w:rPr>
      </w:pPr>
      <w:r>
        <w:rPr>
          <w:rFonts w:hint="eastAsia"/>
          <w:color w:val="auto"/>
          <w:lang w:val="en-US" w:eastAsia="zh-CN"/>
        </w:rPr>
        <w:t>4、</w:t>
      </w:r>
      <w:r>
        <w:rPr>
          <w:rFonts w:hint="default"/>
          <w:color w:val="auto"/>
          <w:lang w:val="en-US" w:eastAsia="zh-CN"/>
        </w:rPr>
        <w:t>楼梯与台阶均按无障碍设计要求设置。</w:t>
      </w:r>
    </w:p>
    <w:p>
      <w:pPr>
        <w:pStyle w:val="4"/>
        <w:bidi w:val="0"/>
        <w:rPr>
          <w:rFonts w:hint="default"/>
          <w:color w:val="auto"/>
          <w:lang w:val="en-US" w:eastAsia="zh-CN"/>
        </w:rPr>
      </w:pPr>
      <w:r>
        <w:rPr>
          <w:rFonts w:hint="default"/>
          <w:color w:val="auto"/>
          <w:lang w:val="en-US" w:eastAsia="zh-CN"/>
        </w:rPr>
        <w:t>电气无障碍设计</w:t>
      </w:r>
    </w:p>
    <w:p>
      <w:pPr>
        <w:bidi w:val="0"/>
        <w:rPr>
          <w:rFonts w:hint="default"/>
          <w:color w:val="auto"/>
          <w:lang w:val="en-US" w:eastAsia="zh-CN"/>
        </w:rPr>
      </w:pPr>
      <w:r>
        <w:rPr>
          <w:rFonts w:hint="default"/>
          <w:color w:val="auto"/>
          <w:lang w:val="en-US" w:eastAsia="zh-CN"/>
        </w:rPr>
        <w:t>无障碍专用厕所内，距地面0.5m处设置求助呼叫按钮；门口上方设置声光报警器；灯具采用扳把式开关，安装高度1.0m。每间居室建议设计传呼系统。</w:t>
      </w:r>
    </w:p>
    <w:p>
      <w:pPr>
        <w:pStyle w:val="4"/>
        <w:bidi w:val="0"/>
        <w:rPr>
          <w:rFonts w:hint="default"/>
          <w:color w:val="auto"/>
          <w:lang w:val="en-US" w:eastAsia="zh-CN"/>
        </w:rPr>
      </w:pPr>
      <w:r>
        <w:rPr>
          <w:rFonts w:hint="default"/>
          <w:color w:val="auto"/>
          <w:lang w:val="en-US" w:eastAsia="zh-CN"/>
        </w:rPr>
        <w:t>给排水无障碍设计</w:t>
      </w:r>
    </w:p>
    <w:p>
      <w:pPr>
        <w:bidi w:val="0"/>
        <w:rPr>
          <w:rFonts w:hint="default"/>
          <w:color w:val="auto"/>
          <w:lang w:val="en-US" w:eastAsia="zh-CN"/>
        </w:rPr>
      </w:pPr>
      <w:r>
        <w:rPr>
          <w:rFonts w:hint="default"/>
          <w:color w:val="auto"/>
          <w:lang w:val="en-US" w:eastAsia="zh-CN"/>
        </w:rPr>
        <w:t>无障碍专用厕所内，坐便器及洗手盆采用感应式便器及洗手龙头。</w:t>
      </w:r>
    </w:p>
    <w:p>
      <w:pPr>
        <w:pStyle w:val="2"/>
        <w:bidi w:val="0"/>
        <w:rPr>
          <w:color w:val="auto"/>
          <w:lang w:eastAsia="en-US"/>
        </w:rPr>
      </w:pPr>
      <w:r>
        <w:rPr>
          <w:rFonts w:hint="default"/>
          <w:color w:val="auto"/>
          <w:lang w:val="en-US" w:eastAsia="zh-CN"/>
        </w:rPr>
        <w:br w:type="column"/>
      </w:r>
      <w:r>
        <w:rPr>
          <w:color w:val="auto"/>
          <w:lang w:eastAsia="en-US"/>
        </w:rPr>
        <w:t>海绵城市设计</w:t>
      </w:r>
    </w:p>
    <w:p>
      <w:pPr>
        <w:pStyle w:val="3"/>
        <w:bidi w:val="0"/>
        <w:rPr>
          <w:rFonts w:hint="eastAsia"/>
          <w:color w:val="auto"/>
          <w:lang w:eastAsia="en-US"/>
        </w:rPr>
      </w:pPr>
      <w:r>
        <w:rPr>
          <w:rFonts w:hint="eastAsia"/>
          <w:color w:val="auto"/>
          <w:lang w:eastAsia="en-US"/>
        </w:rPr>
        <w:t>设计依据</w:t>
      </w:r>
    </w:p>
    <w:p>
      <w:pPr>
        <w:bidi w:val="0"/>
        <w:rPr>
          <w:rFonts w:hint="eastAsia"/>
          <w:color w:val="auto"/>
          <w:lang w:eastAsia="en-US"/>
        </w:rPr>
      </w:pPr>
      <w:r>
        <w:rPr>
          <w:rFonts w:hint="eastAsia"/>
          <w:color w:val="auto"/>
          <w:lang w:eastAsia="en-US"/>
        </w:rPr>
        <w:t>1、主要设计规范</w:t>
      </w:r>
    </w:p>
    <w:p>
      <w:pPr>
        <w:bidi w:val="0"/>
        <w:rPr>
          <w:rFonts w:hint="eastAsia"/>
          <w:color w:val="auto"/>
          <w:lang w:eastAsia="en-US"/>
        </w:rPr>
      </w:pPr>
      <w:r>
        <w:rPr>
          <w:rFonts w:hint="eastAsia"/>
          <w:color w:val="auto"/>
          <w:lang w:eastAsia="en-US"/>
        </w:rPr>
        <w:t>《海绵城市建设技术指南》——低影响开发雨水系统构建（试行）；</w:t>
      </w:r>
    </w:p>
    <w:p>
      <w:pPr>
        <w:bidi w:val="0"/>
        <w:rPr>
          <w:rFonts w:hint="eastAsia"/>
          <w:color w:val="auto"/>
          <w:lang w:eastAsia="en-US"/>
        </w:rPr>
      </w:pPr>
      <w:r>
        <w:rPr>
          <w:rFonts w:hint="eastAsia"/>
          <w:color w:val="auto"/>
          <w:lang w:eastAsia="en-US"/>
        </w:rPr>
        <w:t>《雨水集蓄利用工程及水规范》GB/T50596-2010；</w:t>
      </w:r>
    </w:p>
    <w:p>
      <w:pPr>
        <w:bidi w:val="0"/>
        <w:rPr>
          <w:rFonts w:hint="eastAsia"/>
          <w:color w:val="auto"/>
          <w:lang w:eastAsia="en-US"/>
        </w:rPr>
      </w:pPr>
      <w:r>
        <w:rPr>
          <w:rFonts w:hint="eastAsia"/>
          <w:color w:val="auto"/>
          <w:lang w:eastAsia="en-US"/>
        </w:rPr>
        <w:t>《建筑与园区雨水利用工程技术规范》GB50400-2016；</w:t>
      </w:r>
    </w:p>
    <w:p>
      <w:pPr>
        <w:bidi w:val="0"/>
        <w:rPr>
          <w:rFonts w:hint="eastAsia"/>
          <w:color w:val="auto"/>
          <w:lang w:eastAsia="en-US"/>
        </w:rPr>
      </w:pPr>
      <w:r>
        <w:rPr>
          <w:rFonts w:hint="eastAsia"/>
          <w:color w:val="auto"/>
          <w:lang w:eastAsia="en-US"/>
        </w:rPr>
        <w:t>《海绵城市建设技术》（湘2015SZ103）；</w:t>
      </w:r>
    </w:p>
    <w:p>
      <w:pPr>
        <w:bidi w:val="0"/>
        <w:rPr>
          <w:rFonts w:hint="eastAsia"/>
          <w:color w:val="auto"/>
          <w:lang w:eastAsia="en-US"/>
        </w:rPr>
      </w:pPr>
      <w:r>
        <w:rPr>
          <w:rFonts w:hint="eastAsia"/>
          <w:color w:val="auto"/>
          <w:lang w:eastAsia="en-US"/>
        </w:rPr>
        <w:t>《室外排水设计标准》GB50013-2021；</w:t>
      </w:r>
    </w:p>
    <w:p>
      <w:pPr>
        <w:bidi w:val="0"/>
        <w:rPr>
          <w:rFonts w:hint="eastAsia"/>
          <w:color w:val="auto"/>
          <w:lang w:eastAsia="en-US"/>
        </w:rPr>
      </w:pPr>
      <w:r>
        <w:rPr>
          <w:rFonts w:hint="eastAsia"/>
          <w:color w:val="auto"/>
          <w:lang w:eastAsia="en-US"/>
        </w:rPr>
        <w:t>《防洪标准》GB50201－2014；</w:t>
      </w:r>
    </w:p>
    <w:p>
      <w:pPr>
        <w:bidi w:val="0"/>
        <w:rPr>
          <w:rFonts w:hint="eastAsia"/>
          <w:color w:val="auto"/>
          <w:lang w:eastAsia="en-US"/>
        </w:rPr>
      </w:pPr>
      <w:r>
        <w:rPr>
          <w:rFonts w:hint="eastAsia"/>
          <w:color w:val="auto"/>
          <w:lang w:eastAsia="en-US"/>
        </w:rPr>
        <w:t>《种植屋面工程技术规程》JGJ155-2013；</w:t>
      </w:r>
    </w:p>
    <w:p>
      <w:pPr>
        <w:bidi w:val="0"/>
        <w:rPr>
          <w:rFonts w:hint="eastAsia"/>
          <w:color w:val="auto"/>
          <w:lang w:eastAsia="en-US"/>
        </w:rPr>
      </w:pPr>
      <w:r>
        <w:rPr>
          <w:rFonts w:hint="eastAsia"/>
          <w:color w:val="auto"/>
          <w:lang w:eastAsia="en-US"/>
        </w:rPr>
        <w:t>《透水砖路面技术规程》CJJ/T188-2012；</w:t>
      </w:r>
    </w:p>
    <w:p>
      <w:pPr>
        <w:bidi w:val="0"/>
        <w:rPr>
          <w:rFonts w:hint="eastAsia"/>
          <w:color w:val="auto"/>
          <w:lang w:eastAsia="en-US"/>
        </w:rPr>
      </w:pPr>
      <w:r>
        <w:rPr>
          <w:rFonts w:hint="eastAsia"/>
          <w:color w:val="auto"/>
          <w:lang w:eastAsia="en-US"/>
        </w:rPr>
        <w:t>《屋面工程技术规程》GB50345；</w:t>
      </w:r>
    </w:p>
    <w:p>
      <w:pPr>
        <w:bidi w:val="0"/>
        <w:rPr>
          <w:rFonts w:hint="eastAsia"/>
          <w:color w:val="auto"/>
          <w:lang w:eastAsia="en-US"/>
        </w:rPr>
      </w:pPr>
      <w:r>
        <w:rPr>
          <w:rFonts w:hint="eastAsia"/>
          <w:color w:val="auto"/>
          <w:lang w:eastAsia="en-US"/>
        </w:rPr>
        <w:t>《地下工程防水技术规范》GB50108-2008。</w:t>
      </w:r>
    </w:p>
    <w:p>
      <w:pPr>
        <w:bidi w:val="0"/>
        <w:rPr>
          <w:rFonts w:hint="eastAsia"/>
          <w:color w:val="auto"/>
          <w:lang w:eastAsia="en-US"/>
        </w:rPr>
      </w:pPr>
      <w:r>
        <w:rPr>
          <w:rFonts w:hint="eastAsia"/>
          <w:color w:val="auto"/>
          <w:lang w:eastAsia="en-US"/>
        </w:rPr>
        <w:t>2、相关图集</w:t>
      </w:r>
    </w:p>
    <w:p>
      <w:pPr>
        <w:bidi w:val="0"/>
        <w:rPr>
          <w:rFonts w:hint="eastAsia"/>
          <w:color w:val="auto"/>
          <w:lang w:eastAsia="en-US"/>
        </w:rPr>
      </w:pPr>
      <w:r>
        <w:rPr>
          <w:rFonts w:hint="eastAsia"/>
          <w:color w:val="auto"/>
          <w:lang w:eastAsia="en-US"/>
        </w:rPr>
        <w:t>《雨水综合利用》；</w:t>
      </w:r>
    </w:p>
    <w:p>
      <w:pPr>
        <w:bidi w:val="0"/>
        <w:rPr>
          <w:rFonts w:hint="eastAsia"/>
          <w:color w:val="auto"/>
          <w:lang w:eastAsia="en-US"/>
        </w:rPr>
      </w:pPr>
      <w:r>
        <w:rPr>
          <w:rFonts w:hint="eastAsia"/>
          <w:color w:val="auto"/>
          <w:lang w:eastAsia="en-US"/>
        </w:rPr>
        <w:t>《海绵城市建设技术》湘2015SZ103-1(渗透技术设施)；</w:t>
      </w:r>
    </w:p>
    <w:p>
      <w:pPr>
        <w:bidi w:val="0"/>
        <w:rPr>
          <w:rFonts w:hint="eastAsia"/>
          <w:color w:val="auto"/>
          <w:lang w:eastAsia="en-US"/>
        </w:rPr>
      </w:pPr>
      <w:r>
        <w:rPr>
          <w:rFonts w:hint="eastAsia"/>
          <w:color w:val="auto"/>
          <w:lang w:eastAsia="en-US"/>
        </w:rPr>
        <w:t>《海绵城市建设技术》湘2015SZ103-3(传输与截污技术设施)。</w:t>
      </w:r>
    </w:p>
    <w:p>
      <w:pPr>
        <w:pStyle w:val="3"/>
        <w:bidi w:val="0"/>
        <w:rPr>
          <w:rFonts w:hint="eastAsia"/>
          <w:color w:val="auto"/>
          <w:lang w:eastAsia="en-US"/>
        </w:rPr>
      </w:pPr>
      <w:r>
        <w:rPr>
          <w:rFonts w:hint="eastAsia"/>
          <w:color w:val="auto"/>
          <w:lang w:eastAsia="en-US"/>
        </w:rPr>
        <w:t>设计原则</w:t>
      </w:r>
    </w:p>
    <w:p>
      <w:pPr>
        <w:bidi w:val="0"/>
        <w:rPr>
          <w:rFonts w:hint="eastAsia"/>
          <w:color w:val="auto"/>
          <w:lang w:eastAsia="en-US"/>
        </w:rPr>
      </w:pPr>
      <w:r>
        <w:rPr>
          <w:rFonts w:hint="eastAsia"/>
          <w:color w:val="auto"/>
          <w:lang w:eastAsia="en-US"/>
        </w:rPr>
        <w:t>1、规划引领</w:t>
      </w:r>
    </w:p>
    <w:p>
      <w:pPr>
        <w:bidi w:val="0"/>
        <w:rPr>
          <w:rFonts w:hint="eastAsia"/>
          <w:color w:val="auto"/>
          <w:lang w:eastAsia="en-US"/>
        </w:rPr>
      </w:pPr>
      <w:r>
        <w:rPr>
          <w:rFonts w:hint="eastAsia"/>
          <w:color w:val="auto"/>
          <w:lang w:eastAsia="en-US"/>
        </w:rPr>
        <w:t>城市各层级、各相关专业规划以及后续的建设程序中，落实海绵城市建设、低影响开发雨水系统构建的内容，先规划后建设，体现规划的科学性和权威性，发挥规划的控制和引领作用。</w:t>
      </w:r>
    </w:p>
    <w:p>
      <w:pPr>
        <w:bidi w:val="0"/>
        <w:rPr>
          <w:rFonts w:hint="eastAsia"/>
          <w:color w:val="auto"/>
          <w:lang w:eastAsia="en-US"/>
        </w:rPr>
      </w:pPr>
      <w:r>
        <w:rPr>
          <w:rFonts w:hint="eastAsia"/>
          <w:color w:val="auto"/>
          <w:lang w:eastAsia="en-US"/>
        </w:rPr>
        <w:t>2、生态优先</w:t>
      </w:r>
    </w:p>
    <w:p>
      <w:pPr>
        <w:bidi w:val="0"/>
        <w:rPr>
          <w:rFonts w:hint="eastAsia"/>
          <w:color w:val="auto"/>
          <w:lang w:eastAsia="en-US"/>
        </w:rPr>
      </w:pPr>
      <w:r>
        <w:rPr>
          <w:rFonts w:hint="eastAsia"/>
          <w:color w:val="auto"/>
          <w:lang w:eastAsia="en-US"/>
        </w:rPr>
        <w:t>城市规划中科学划定蓝线和绿线。城市开发建设应保护河流、湖泊、湿地、坑塘、沟渠等水生态敏感区，优先利用自然排水系统与低影响开发设施，实现雨水的自然积存、自然渗透、自然净化和可持续水循环，提高水生态系统的自然修复能力，维护城市良好的生态功能。</w:t>
      </w:r>
    </w:p>
    <w:p>
      <w:pPr>
        <w:bidi w:val="0"/>
        <w:rPr>
          <w:rFonts w:hint="eastAsia"/>
          <w:color w:val="auto"/>
          <w:lang w:eastAsia="en-US"/>
        </w:rPr>
      </w:pPr>
      <w:r>
        <w:rPr>
          <w:rFonts w:hint="eastAsia"/>
          <w:color w:val="auto"/>
          <w:lang w:eastAsia="en-US"/>
        </w:rPr>
        <w:t>3、安全为重</w:t>
      </w:r>
    </w:p>
    <w:p>
      <w:pPr>
        <w:bidi w:val="0"/>
        <w:rPr>
          <w:rFonts w:hint="eastAsia"/>
          <w:color w:val="auto"/>
          <w:lang w:eastAsia="en-US"/>
        </w:rPr>
      </w:pPr>
      <w:r>
        <w:rPr>
          <w:rFonts w:hint="eastAsia"/>
          <w:color w:val="auto"/>
          <w:lang w:eastAsia="en-US"/>
        </w:rPr>
        <w:t>以保护人民生命财产安全和社会经济安全为出发点，综合采用工程和非工程措施提高低影响开发设施的建设质量和管理水平，消除安全隐患，增强防灾减灾能力，保障城市水安全。</w:t>
      </w:r>
    </w:p>
    <w:p>
      <w:pPr>
        <w:bidi w:val="0"/>
        <w:rPr>
          <w:rFonts w:hint="eastAsia"/>
          <w:color w:val="auto"/>
          <w:lang w:eastAsia="en-US"/>
        </w:rPr>
      </w:pPr>
      <w:r>
        <w:rPr>
          <w:rFonts w:hint="eastAsia"/>
          <w:color w:val="auto"/>
          <w:lang w:eastAsia="en-US"/>
        </w:rPr>
        <w:t>4、因地制宜</w:t>
      </w:r>
    </w:p>
    <w:p>
      <w:pPr>
        <w:bidi w:val="0"/>
        <w:rPr>
          <w:rFonts w:hint="eastAsia"/>
          <w:color w:val="auto"/>
          <w:lang w:eastAsia="en-US"/>
        </w:rPr>
      </w:pPr>
      <w:r>
        <w:rPr>
          <w:rFonts w:hint="eastAsia"/>
          <w:color w:val="auto"/>
          <w:lang w:eastAsia="en-US"/>
        </w:rPr>
        <w:t>各地应根据本地自然地理条件、水文地质特点、水资源禀赋状况、降雨规律、水环境保护与内涝防治要求等，合理确定低影响开发控制目标与指标，科学规划布局和选用下沉式绿地、植草沟、雨水湿地、透水铺装、多功能调蓄等低影响开发设施及其组合系统。</w:t>
      </w:r>
    </w:p>
    <w:p>
      <w:pPr>
        <w:bidi w:val="0"/>
        <w:rPr>
          <w:rFonts w:hint="eastAsia"/>
          <w:color w:val="auto"/>
          <w:lang w:eastAsia="en-US"/>
        </w:rPr>
      </w:pPr>
      <w:r>
        <w:rPr>
          <w:rFonts w:hint="eastAsia"/>
          <w:color w:val="auto"/>
          <w:lang w:eastAsia="en-US"/>
        </w:rPr>
        <w:t>5、统筹建设</w:t>
      </w:r>
    </w:p>
    <w:p>
      <w:pPr>
        <w:bidi w:val="0"/>
        <w:rPr>
          <w:rFonts w:hint="eastAsia"/>
          <w:color w:val="auto"/>
          <w:lang w:eastAsia="en-US"/>
        </w:rPr>
      </w:pPr>
      <w:r>
        <w:rPr>
          <w:rFonts w:hint="eastAsia"/>
          <w:color w:val="auto"/>
          <w:lang w:eastAsia="en-US"/>
        </w:rPr>
        <w:t>地方政府应结合城市总体规划和建设，在各类建设项目中严格落实各层级相关规划中确定的低影响开发控制目标、指标和技术要求，统筹建设。低影响开发设施应与建设项目的主体工程同时规划设计、同时施工、同时投入使用。</w:t>
      </w:r>
    </w:p>
    <w:p>
      <w:pPr>
        <w:pStyle w:val="3"/>
        <w:bidi w:val="0"/>
        <w:rPr>
          <w:rFonts w:hint="eastAsia"/>
          <w:color w:val="auto"/>
          <w:lang w:eastAsia="en-US"/>
        </w:rPr>
      </w:pPr>
      <w:r>
        <w:rPr>
          <w:rFonts w:hint="eastAsia"/>
          <w:color w:val="auto"/>
          <w:lang w:eastAsia="en-US"/>
        </w:rPr>
        <w:t>设计内容</w:t>
      </w:r>
    </w:p>
    <w:p>
      <w:pPr>
        <w:bidi w:val="0"/>
        <w:rPr>
          <w:rFonts w:hint="eastAsia"/>
          <w:color w:val="auto"/>
          <w:lang w:eastAsia="en-US"/>
        </w:rPr>
      </w:pPr>
      <w:r>
        <w:rPr>
          <w:rFonts w:hint="eastAsia"/>
          <w:color w:val="auto"/>
          <w:lang w:eastAsia="en-US"/>
        </w:rPr>
        <w:t>1、依据《海绵城市建设技术指南-低影响开发雨水系统构建》：项目总量和径流污染控制目标应以开发建设后径流排放量接近开发建设前自然地貌时的径流排放量为标准进行确定。总体年径流总量控制率应不小于75%。</w:t>
      </w:r>
    </w:p>
    <w:p>
      <w:pPr>
        <w:bidi w:val="0"/>
        <w:rPr>
          <w:rFonts w:hint="eastAsia"/>
          <w:color w:val="auto"/>
          <w:lang w:eastAsia="en-US"/>
        </w:rPr>
      </w:pPr>
      <w:r>
        <w:rPr>
          <w:rFonts w:hint="eastAsia"/>
          <w:color w:val="auto"/>
          <w:lang w:eastAsia="en-US"/>
        </w:rPr>
        <w:t>2、年径流面源污染去除率（以SS计）目标为50.0%。</w:t>
      </w:r>
    </w:p>
    <w:p>
      <w:pPr>
        <w:bidi w:val="0"/>
        <w:rPr>
          <w:rFonts w:hint="eastAsia"/>
          <w:color w:val="auto"/>
          <w:lang w:eastAsia="en-US"/>
        </w:rPr>
      </w:pPr>
      <w:r>
        <w:rPr>
          <w:rFonts w:hint="eastAsia"/>
          <w:color w:val="auto"/>
          <w:lang w:eastAsia="en-US"/>
        </w:rPr>
        <w:t>3、雨水资源化利用目标为鼓励性指标，本工程根据实际情况采取适当数量与规模的雨水收集回用系统，回收利用部分雨水，用于绿化灌溉、道路广场冲洗等。</w:t>
      </w:r>
    </w:p>
    <w:p>
      <w:pPr>
        <w:bidi w:val="0"/>
        <w:rPr>
          <w:rFonts w:hint="eastAsia"/>
          <w:color w:val="auto"/>
          <w:lang w:eastAsia="en-US"/>
        </w:rPr>
      </w:pPr>
      <w:r>
        <w:rPr>
          <w:rFonts w:hint="eastAsia"/>
          <w:color w:val="auto"/>
          <w:lang w:eastAsia="en-US"/>
        </w:rPr>
        <w:t>4、LID系统设计</w:t>
      </w:r>
    </w:p>
    <w:p>
      <w:pPr>
        <w:bidi w:val="0"/>
        <w:rPr>
          <w:rFonts w:hint="eastAsia"/>
          <w:color w:val="auto"/>
          <w:lang w:eastAsia="en-US"/>
        </w:rPr>
      </w:pPr>
      <w:r>
        <w:rPr>
          <w:rFonts w:hint="eastAsia"/>
          <w:color w:val="auto"/>
          <w:lang w:eastAsia="en-US"/>
        </w:rPr>
        <w:t>（1）内涝防治分析</w:t>
      </w:r>
    </w:p>
    <w:p>
      <w:pPr>
        <w:bidi w:val="0"/>
        <w:rPr>
          <w:rFonts w:hint="eastAsia"/>
          <w:color w:val="auto"/>
          <w:lang w:eastAsia="en-US"/>
        </w:rPr>
      </w:pPr>
      <w:r>
        <w:rPr>
          <w:rFonts w:hint="eastAsia"/>
          <w:color w:val="auto"/>
          <w:lang w:eastAsia="en-US"/>
        </w:rPr>
        <w:t>本设计中结合竖向低点设置海绵设施、溢流排水口，增强雨水调蓄能力，降低内涝风险。地块场地竖向设计整体北高南低，院区整体设计高于周边道路,使得雨水能顺畅排至市政管网；另院区排水管渠严格按规定重现期设计，在海绵城市建设过程中不降低雨水排水管渠排水能力，并复核雨水管道系统排水能力后，满足排水防涝要求。</w:t>
      </w:r>
    </w:p>
    <w:p>
      <w:pPr>
        <w:bidi w:val="0"/>
        <w:rPr>
          <w:rFonts w:hint="eastAsia"/>
          <w:color w:val="auto"/>
          <w:lang w:eastAsia="en-US"/>
        </w:rPr>
      </w:pPr>
      <w:r>
        <w:rPr>
          <w:rFonts w:hint="eastAsia"/>
          <w:color w:val="auto"/>
          <w:lang w:eastAsia="en-US"/>
        </w:rPr>
        <w:t>（2）汇水分区划分</w:t>
      </w:r>
    </w:p>
    <w:p>
      <w:pPr>
        <w:bidi w:val="0"/>
        <w:rPr>
          <w:rFonts w:hint="eastAsia"/>
          <w:color w:val="auto"/>
          <w:lang w:eastAsia="en-US"/>
        </w:rPr>
      </w:pPr>
      <w:r>
        <w:rPr>
          <w:rFonts w:hint="eastAsia"/>
          <w:color w:val="auto"/>
          <w:lang w:eastAsia="en-US"/>
        </w:rPr>
        <w:t>本工程雨水排水由LID设施和排水管网共同承担，将整个片区分为1个汇水分区，汇水分区内都设置一个或多个LID设施，通过合理的竖向设计，使每个汇水分区内的雨水均经过LID设施调蓄、渗透和净化处理。</w:t>
      </w:r>
    </w:p>
    <w:p>
      <w:pPr>
        <w:bidi w:val="0"/>
        <w:rPr>
          <w:rFonts w:hint="eastAsia"/>
          <w:color w:val="auto"/>
          <w:lang w:eastAsia="en-US"/>
        </w:rPr>
      </w:pPr>
      <w:r>
        <w:rPr>
          <w:rFonts w:hint="eastAsia"/>
          <w:color w:val="auto"/>
          <w:lang w:eastAsia="en-US"/>
        </w:rPr>
        <w:t>（3）LID设施选择</w:t>
      </w:r>
    </w:p>
    <w:p>
      <w:pPr>
        <w:bidi w:val="0"/>
        <w:rPr>
          <w:rFonts w:hint="eastAsia"/>
          <w:color w:val="auto"/>
          <w:lang w:eastAsia="en-US"/>
        </w:rPr>
      </w:pPr>
      <w:r>
        <w:rPr>
          <w:rFonts w:hint="eastAsia"/>
          <w:color w:val="auto"/>
          <w:lang w:eastAsia="en-US"/>
        </w:rPr>
        <w:t>LID设施选择应考虑项目建设自然条件，根据设施特点、适用性、经济效益等，遵循海绵城市建设的基本原则下，选取适宜的LID设施。</w:t>
      </w:r>
    </w:p>
    <w:p>
      <w:pPr>
        <w:pStyle w:val="17"/>
        <w:bidi w:val="0"/>
        <w:rPr>
          <w:color w:val="auto"/>
          <w:lang w:eastAsia="en-US"/>
        </w:rPr>
      </w:pPr>
      <w:r>
        <w:rPr>
          <w:rFonts w:hint="eastAsia"/>
          <w:color w:val="auto"/>
          <w:lang w:eastAsia="en-US"/>
        </w:rPr>
        <w:t>海绵城市相关设施规划配置</w:t>
      </w:r>
    </w:p>
    <w:tbl>
      <w:tblPr>
        <w:tblStyle w:val="1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060"/>
        <w:gridCol w:w="686"/>
        <w:gridCol w:w="933"/>
        <w:gridCol w:w="802"/>
        <w:gridCol w:w="933"/>
        <w:gridCol w:w="933"/>
        <w:gridCol w:w="933"/>
        <w:gridCol w:w="936"/>
        <w:gridCol w:w="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trPr>
        <w:tc>
          <w:tcPr>
            <w:tcW w:w="1156" w:type="pct"/>
            <w:vMerge w:val="restart"/>
            <w:vAlign w:val="center"/>
          </w:tcPr>
          <w:p>
            <w:pPr>
              <w:pStyle w:val="17"/>
              <w:bidi w:val="0"/>
              <w:jc w:val="center"/>
              <w:rPr>
                <w:color w:val="auto"/>
                <w:lang w:val="en-US" w:eastAsia="en-US"/>
              </w:rPr>
            </w:pPr>
            <w:r>
              <w:rPr>
                <w:color w:val="auto"/>
                <w:lang w:val="en-US" w:eastAsia="en-US"/>
              </w:rPr>
              <w:t>设施名称</w:t>
            </w:r>
          </w:p>
        </w:tc>
        <w:tc>
          <w:tcPr>
            <w:tcW w:w="3843" w:type="pct"/>
            <w:gridSpan w:val="8"/>
            <w:vAlign w:val="center"/>
          </w:tcPr>
          <w:p>
            <w:pPr>
              <w:pStyle w:val="17"/>
              <w:bidi w:val="0"/>
              <w:jc w:val="center"/>
              <w:rPr>
                <w:color w:val="auto"/>
                <w:lang w:val="en-US" w:eastAsia="en-US"/>
              </w:rPr>
            </w:pPr>
            <w:r>
              <w:rPr>
                <w:color w:val="auto"/>
                <w:lang w:val="en-US" w:eastAsia="en-US"/>
              </w:rPr>
              <w:t>用地类型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4" w:hRule="atLeast"/>
        </w:trPr>
        <w:tc>
          <w:tcPr>
            <w:tcW w:w="1156" w:type="pct"/>
            <w:vMerge w:val="continue"/>
            <w:vAlign w:val="center"/>
          </w:tcPr>
          <w:p>
            <w:pPr>
              <w:pStyle w:val="17"/>
              <w:bidi w:val="0"/>
              <w:jc w:val="center"/>
              <w:rPr>
                <w:color w:val="auto"/>
                <w:lang w:eastAsia="en-US"/>
              </w:rPr>
            </w:pPr>
          </w:p>
        </w:tc>
        <w:tc>
          <w:tcPr>
            <w:tcW w:w="385" w:type="pct"/>
            <w:vAlign w:val="center"/>
          </w:tcPr>
          <w:p>
            <w:pPr>
              <w:pStyle w:val="17"/>
              <w:bidi w:val="0"/>
              <w:jc w:val="center"/>
              <w:rPr>
                <w:color w:val="auto"/>
                <w:lang w:val="en-US" w:eastAsia="en-US"/>
              </w:rPr>
            </w:pPr>
            <w:r>
              <w:rPr>
                <w:color w:val="auto"/>
                <w:lang w:val="en-US" w:eastAsia="en-US"/>
              </w:rPr>
              <w:t>居住用地</w:t>
            </w:r>
          </w:p>
          <w:p>
            <w:pPr>
              <w:pStyle w:val="17"/>
              <w:bidi w:val="0"/>
              <w:jc w:val="center"/>
              <w:rPr>
                <w:color w:val="auto"/>
                <w:lang w:val="en-US" w:eastAsia="en-US"/>
              </w:rPr>
            </w:pPr>
            <w:r>
              <w:rPr>
                <w:color w:val="auto"/>
                <w:lang w:val="en-US" w:eastAsia="en-US"/>
              </w:rPr>
              <w:t>(R)</w:t>
            </w:r>
          </w:p>
        </w:tc>
        <w:tc>
          <w:tcPr>
            <w:tcW w:w="523" w:type="pct"/>
            <w:vAlign w:val="center"/>
          </w:tcPr>
          <w:p>
            <w:pPr>
              <w:pStyle w:val="17"/>
              <w:bidi w:val="0"/>
              <w:jc w:val="center"/>
              <w:rPr>
                <w:color w:val="auto"/>
                <w:lang w:val="en-US" w:eastAsia="en-US"/>
              </w:rPr>
            </w:pPr>
            <w:r>
              <w:rPr>
                <w:color w:val="auto"/>
                <w:lang w:val="en-US" w:eastAsia="en-US"/>
              </w:rPr>
              <w:t>公共设施用地</w:t>
            </w:r>
          </w:p>
          <w:p>
            <w:pPr>
              <w:pStyle w:val="17"/>
              <w:bidi w:val="0"/>
              <w:jc w:val="center"/>
              <w:rPr>
                <w:color w:val="auto"/>
                <w:lang w:val="en-US" w:eastAsia="en-US"/>
              </w:rPr>
            </w:pPr>
            <w:r>
              <w:rPr>
                <w:color w:val="auto"/>
                <w:lang w:val="en-US" w:eastAsia="en-US"/>
              </w:rPr>
              <w:t>(C)</w:t>
            </w:r>
          </w:p>
        </w:tc>
        <w:tc>
          <w:tcPr>
            <w:tcW w:w="450" w:type="pct"/>
            <w:vAlign w:val="center"/>
          </w:tcPr>
          <w:p>
            <w:pPr>
              <w:pStyle w:val="17"/>
              <w:bidi w:val="0"/>
              <w:jc w:val="center"/>
              <w:rPr>
                <w:color w:val="auto"/>
                <w:lang w:val="en-US" w:eastAsia="en-US"/>
              </w:rPr>
            </w:pPr>
            <w:r>
              <w:rPr>
                <w:color w:val="auto"/>
                <w:lang w:val="en-US" w:eastAsia="en-US"/>
              </w:rPr>
              <w:t>工业用地</w:t>
            </w:r>
          </w:p>
          <w:p>
            <w:pPr>
              <w:pStyle w:val="17"/>
              <w:bidi w:val="0"/>
              <w:jc w:val="center"/>
              <w:rPr>
                <w:color w:val="auto"/>
                <w:lang w:val="en-US" w:eastAsia="en-US"/>
              </w:rPr>
            </w:pPr>
            <w:r>
              <w:rPr>
                <w:color w:val="auto"/>
                <w:lang w:val="en-US" w:eastAsia="en-US"/>
              </w:rPr>
              <w:t>(M)</w:t>
            </w:r>
          </w:p>
        </w:tc>
        <w:tc>
          <w:tcPr>
            <w:tcW w:w="523" w:type="pct"/>
            <w:vAlign w:val="center"/>
          </w:tcPr>
          <w:p>
            <w:pPr>
              <w:pStyle w:val="17"/>
              <w:bidi w:val="0"/>
              <w:jc w:val="center"/>
              <w:rPr>
                <w:color w:val="auto"/>
                <w:lang w:val="en-US" w:eastAsia="en-US"/>
              </w:rPr>
            </w:pPr>
            <w:r>
              <w:rPr>
                <w:color w:val="auto"/>
                <w:lang w:val="en-US" w:eastAsia="en-US"/>
              </w:rPr>
              <w:t>仓储物流用地</w:t>
            </w:r>
          </w:p>
          <w:p>
            <w:pPr>
              <w:pStyle w:val="17"/>
              <w:bidi w:val="0"/>
              <w:jc w:val="center"/>
              <w:rPr>
                <w:color w:val="auto"/>
                <w:lang w:val="en-US" w:eastAsia="en-US"/>
              </w:rPr>
            </w:pPr>
            <w:r>
              <w:rPr>
                <w:color w:val="auto"/>
                <w:lang w:val="en-US" w:eastAsia="en-US"/>
              </w:rPr>
              <w:t>（W）</w:t>
            </w:r>
          </w:p>
        </w:tc>
        <w:tc>
          <w:tcPr>
            <w:tcW w:w="523" w:type="pct"/>
            <w:vAlign w:val="center"/>
          </w:tcPr>
          <w:p>
            <w:pPr>
              <w:pStyle w:val="17"/>
              <w:bidi w:val="0"/>
              <w:jc w:val="center"/>
              <w:rPr>
                <w:color w:val="auto"/>
                <w:lang w:val="en-US" w:eastAsia="en-US"/>
              </w:rPr>
            </w:pPr>
            <w:r>
              <w:rPr>
                <w:color w:val="auto"/>
                <w:lang w:val="en-US" w:eastAsia="en-US"/>
              </w:rPr>
              <w:t>对外交通用地</w:t>
            </w:r>
          </w:p>
          <w:p>
            <w:pPr>
              <w:pStyle w:val="17"/>
              <w:bidi w:val="0"/>
              <w:jc w:val="center"/>
              <w:rPr>
                <w:color w:val="auto"/>
                <w:lang w:val="en-US" w:eastAsia="en-US"/>
              </w:rPr>
            </w:pPr>
            <w:r>
              <w:rPr>
                <w:color w:val="auto"/>
                <w:lang w:val="en-US" w:eastAsia="en-US"/>
              </w:rPr>
              <w:t>(T)</w:t>
            </w:r>
          </w:p>
        </w:tc>
        <w:tc>
          <w:tcPr>
            <w:tcW w:w="523" w:type="pct"/>
            <w:vAlign w:val="center"/>
          </w:tcPr>
          <w:p>
            <w:pPr>
              <w:pStyle w:val="17"/>
              <w:bidi w:val="0"/>
              <w:jc w:val="center"/>
              <w:rPr>
                <w:color w:val="auto"/>
                <w:lang w:val="en-US" w:eastAsia="en-US"/>
              </w:rPr>
            </w:pPr>
            <w:r>
              <w:rPr>
                <w:color w:val="auto"/>
                <w:lang w:val="en-US" w:eastAsia="en-US"/>
              </w:rPr>
              <w:t>道路广场用地</w:t>
            </w:r>
          </w:p>
          <w:p>
            <w:pPr>
              <w:pStyle w:val="17"/>
              <w:bidi w:val="0"/>
              <w:jc w:val="center"/>
              <w:rPr>
                <w:color w:val="auto"/>
                <w:lang w:val="en-US" w:eastAsia="en-US"/>
              </w:rPr>
            </w:pPr>
            <w:r>
              <w:rPr>
                <w:color w:val="auto"/>
                <w:lang w:val="en-US" w:eastAsia="en-US"/>
              </w:rPr>
              <w:t>(S)</w:t>
            </w:r>
          </w:p>
        </w:tc>
        <w:tc>
          <w:tcPr>
            <w:tcW w:w="525" w:type="pct"/>
            <w:vAlign w:val="center"/>
          </w:tcPr>
          <w:p>
            <w:pPr>
              <w:pStyle w:val="17"/>
              <w:bidi w:val="0"/>
              <w:jc w:val="center"/>
              <w:rPr>
                <w:color w:val="auto"/>
                <w:lang w:val="en-US" w:eastAsia="en-US"/>
              </w:rPr>
            </w:pPr>
            <w:r>
              <w:rPr>
                <w:color w:val="auto"/>
                <w:lang w:val="en-US" w:eastAsia="en-US"/>
              </w:rPr>
              <w:t>市政设施用地</w:t>
            </w:r>
          </w:p>
          <w:p>
            <w:pPr>
              <w:pStyle w:val="17"/>
              <w:bidi w:val="0"/>
              <w:jc w:val="center"/>
              <w:rPr>
                <w:color w:val="auto"/>
                <w:lang w:val="en-US" w:eastAsia="en-US"/>
              </w:rPr>
            </w:pPr>
            <w:r>
              <w:rPr>
                <w:color w:val="auto"/>
                <w:lang w:val="en-US" w:eastAsia="en-US"/>
              </w:rPr>
              <w:t>(U)</w:t>
            </w:r>
          </w:p>
        </w:tc>
        <w:tc>
          <w:tcPr>
            <w:tcW w:w="386" w:type="pct"/>
            <w:vAlign w:val="center"/>
          </w:tcPr>
          <w:p>
            <w:pPr>
              <w:pStyle w:val="17"/>
              <w:bidi w:val="0"/>
              <w:jc w:val="center"/>
              <w:rPr>
                <w:color w:val="auto"/>
                <w:lang w:val="en-US" w:eastAsia="en-US"/>
              </w:rPr>
            </w:pPr>
            <w:r>
              <w:rPr>
                <w:color w:val="auto"/>
                <w:lang w:val="en-US" w:eastAsia="en-US"/>
              </w:rPr>
              <w:t>绿地</w:t>
            </w:r>
          </w:p>
          <w:p>
            <w:pPr>
              <w:pStyle w:val="17"/>
              <w:bidi w:val="0"/>
              <w:jc w:val="center"/>
              <w:rPr>
                <w:color w:val="auto"/>
                <w:lang w:val="en-US" w:eastAsia="en-US"/>
              </w:rPr>
            </w:pPr>
            <w:r>
              <w:rPr>
                <w:color w:val="auto"/>
                <w:lang w:val="en-US" w:eastAsia="en-US"/>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trPr>
        <w:tc>
          <w:tcPr>
            <w:tcW w:w="1156" w:type="pct"/>
            <w:vAlign w:val="center"/>
          </w:tcPr>
          <w:p>
            <w:pPr>
              <w:pStyle w:val="17"/>
              <w:bidi w:val="0"/>
              <w:jc w:val="center"/>
              <w:rPr>
                <w:color w:val="auto"/>
                <w:lang w:val="en-US" w:eastAsia="en-US"/>
              </w:rPr>
            </w:pPr>
            <w:r>
              <w:rPr>
                <w:color w:val="auto"/>
                <w:lang w:val="en-US" w:eastAsia="en-US"/>
              </w:rPr>
              <w:t>透水铺装</w:t>
            </w:r>
          </w:p>
        </w:tc>
        <w:tc>
          <w:tcPr>
            <w:tcW w:w="385"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450"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5" w:type="pct"/>
            <w:vAlign w:val="center"/>
          </w:tcPr>
          <w:p>
            <w:pPr>
              <w:pStyle w:val="17"/>
              <w:bidi w:val="0"/>
              <w:jc w:val="center"/>
              <w:rPr>
                <w:color w:val="auto"/>
                <w:lang w:val="en-US" w:eastAsia="en-US"/>
              </w:rPr>
            </w:pPr>
            <w:r>
              <w:rPr>
                <w:color w:val="auto"/>
                <w:lang w:val="en-US" w:eastAsia="en-US"/>
              </w:rPr>
              <w:t>○</w:t>
            </w:r>
          </w:p>
        </w:tc>
        <w:tc>
          <w:tcPr>
            <w:tcW w:w="386" w:type="pct"/>
            <w:vAlign w:val="center"/>
          </w:tcPr>
          <w:p>
            <w:pPr>
              <w:pStyle w:val="17"/>
              <w:bidi w:val="0"/>
              <w:jc w:val="center"/>
              <w:rPr>
                <w:color w:val="auto"/>
                <w:lang w:val="en-US" w:eastAsia="en-US"/>
              </w:rPr>
            </w:pPr>
            <w:r>
              <w:rPr>
                <w:color w:val="auto"/>
                <w:lang w:val="en-US"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trPr>
        <w:tc>
          <w:tcPr>
            <w:tcW w:w="1156" w:type="pct"/>
            <w:vAlign w:val="center"/>
          </w:tcPr>
          <w:p>
            <w:pPr>
              <w:pStyle w:val="17"/>
              <w:bidi w:val="0"/>
              <w:jc w:val="center"/>
              <w:rPr>
                <w:color w:val="auto"/>
                <w:lang w:val="en-US" w:eastAsia="en-US"/>
              </w:rPr>
            </w:pPr>
            <w:r>
              <w:rPr>
                <w:color w:val="auto"/>
                <w:lang w:val="en-US" w:eastAsia="en-US"/>
              </w:rPr>
              <w:t>下沉式绿地</w:t>
            </w:r>
          </w:p>
        </w:tc>
        <w:tc>
          <w:tcPr>
            <w:tcW w:w="385"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450"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5" w:type="pct"/>
            <w:vAlign w:val="center"/>
          </w:tcPr>
          <w:p>
            <w:pPr>
              <w:pStyle w:val="17"/>
              <w:bidi w:val="0"/>
              <w:jc w:val="center"/>
              <w:rPr>
                <w:color w:val="auto"/>
                <w:lang w:val="en-US" w:eastAsia="en-US"/>
              </w:rPr>
            </w:pPr>
            <w:r>
              <w:rPr>
                <w:color w:val="auto"/>
                <w:lang w:val="en-US" w:eastAsia="en-US"/>
              </w:rPr>
              <w:t>○</w:t>
            </w:r>
          </w:p>
        </w:tc>
        <w:tc>
          <w:tcPr>
            <w:tcW w:w="386" w:type="pct"/>
            <w:vAlign w:val="center"/>
          </w:tcPr>
          <w:p>
            <w:pPr>
              <w:pStyle w:val="17"/>
              <w:bidi w:val="0"/>
              <w:jc w:val="center"/>
              <w:rPr>
                <w:color w:val="auto"/>
                <w:lang w:val="en-US" w:eastAsia="en-US"/>
              </w:rPr>
            </w:pPr>
            <w:r>
              <w:rPr>
                <w:color w:val="auto"/>
                <w:lang w:val="en-US"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trPr>
        <w:tc>
          <w:tcPr>
            <w:tcW w:w="1156" w:type="pct"/>
            <w:vAlign w:val="center"/>
          </w:tcPr>
          <w:p>
            <w:pPr>
              <w:pStyle w:val="17"/>
              <w:bidi w:val="0"/>
              <w:jc w:val="center"/>
              <w:rPr>
                <w:color w:val="auto"/>
                <w:lang w:val="en-US" w:eastAsia="en-US"/>
              </w:rPr>
            </w:pPr>
            <w:r>
              <w:rPr>
                <w:color w:val="auto"/>
                <w:lang w:val="en-US" w:eastAsia="en-US"/>
              </w:rPr>
              <w:t>生物滞留设施</w:t>
            </w:r>
          </w:p>
        </w:tc>
        <w:tc>
          <w:tcPr>
            <w:tcW w:w="385"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450"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5" w:type="pct"/>
            <w:vAlign w:val="center"/>
          </w:tcPr>
          <w:p>
            <w:pPr>
              <w:pStyle w:val="17"/>
              <w:bidi w:val="0"/>
              <w:jc w:val="center"/>
              <w:rPr>
                <w:color w:val="auto"/>
                <w:lang w:val="en-US" w:eastAsia="en-US"/>
              </w:rPr>
            </w:pPr>
            <w:r>
              <w:rPr>
                <w:color w:val="auto"/>
                <w:lang w:val="en-US" w:eastAsia="en-US"/>
              </w:rPr>
              <w:t>√</w:t>
            </w:r>
          </w:p>
        </w:tc>
        <w:tc>
          <w:tcPr>
            <w:tcW w:w="386" w:type="pct"/>
            <w:vAlign w:val="center"/>
          </w:tcPr>
          <w:p>
            <w:pPr>
              <w:pStyle w:val="17"/>
              <w:bidi w:val="0"/>
              <w:jc w:val="center"/>
              <w:rPr>
                <w:color w:val="auto"/>
                <w:lang w:val="en-US" w:eastAsia="en-US"/>
              </w:rPr>
            </w:pPr>
            <w:r>
              <w:rPr>
                <w:color w:val="auto"/>
                <w:lang w:val="en-US"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trPr>
        <w:tc>
          <w:tcPr>
            <w:tcW w:w="1156" w:type="pct"/>
            <w:vAlign w:val="center"/>
          </w:tcPr>
          <w:p>
            <w:pPr>
              <w:pStyle w:val="17"/>
              <w:bidi w:val="0"/>
              <w:jc w:val="center"/>
              <w:rPr>
                <w:color w:val="auto"/>
                <w:lang w:val="en-US" w:eastAsia="en-US"/>
              </w:rPr>
            </w:pPr>
            <w:r>
              <w:rPr>
                <w:color w:val="auto"/>
                <w:lang w:val="en-US" w:eastAsia="en-US"/>
              </w:rPr>
              <w:t>湿塘</w:t>
            </w:r>
          </w:p>
        </w:tc>
        <w:tc>
          <w:tcPr>
            <w:tcW w:w="385"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450"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5" w:type="pct"/>
            <w:vAlign w:val="center"/>
          </w:tcPr>
          <w:p>
            <w:pPr>
              <w:pStyle w:val="17"/>
              <w:bidi w:val="0"/>
              <w:jc w:val="center"/>
              <w:rPr>
                <w:color w:val="auto"/>
                <w:lang w:val="en-US" w:eastAsia="en-US"/>
              </w:rPr>
            </w:pPr>
            <w:r>
              <w:rPr>
                <w:color w:val="auto"/>
                <w:lang w:val="en-US" w:eastAsia="en-US"/>
              </w:rPr>
              <w:t>╳</w:t>
            </w:r>
          </w:p>
        </w:tc>
        <w:tc>
          <w:tcPr>
            <w:tcW w:w="386" w:type="pct"/>
            <w:vAlign w:val="center"/>
          </w:tcPr>
          <w:p>
            <w:pPr>
              <w:pStyle w:val="17"/>
              <w:bidi w:val="0"/>
              <w:jc w:val="center"/>
              <w:rPr>
                <w:color w:val="auto"/>
                <w:lang w:val="en-US" w:eastAsia="en-US"/>
              </w:rPr>
            </w:pPr>
            <w:r>
              <w:rPr>
                <w:color w:val="auto"/>
                <w:lang w:val="en-US"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5" w:hRule="atLeast"/>
        </w:trPr>
        <w:tc>
          <w:tcPr>
            <w:tcW w:w="1156" w:type="pct"/>
            <w:vAlign w:val="center"/>
          </w:tcPr>
          <w:p>
            <w:pPr>
              <w:pStyle w:val="17"/>
              <w:bidi w:val="0"/>
              <w:jc w:val="center"/>
              <w:rPr>
                <w:color w:val="auto"/>
                <w:lang w:val="en-US" w:eastAsia="en-US"/>
              </w:rPr>
            </w:pPr>
            <w:r>
              <w:rPr>
                <w:color w:val="auto"/>
                <w:lang w:val="en-US" w:eastAsia="en-US"/>
              </w:rPr>
              <w:t>雨水湿地</w:t>
            </w:r>
          </w:p>
        </w:tc>
        <w:tc>
          <w:tcPr>
            <w:tcW w:w="385"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450"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5" w:type="pct"/>
            <w:vAlign w:val="center"/>
          </w:tcPr>
          <w:p>
            <w:pPr>
              <w:pStyle w:val="17"/>
              <w:bidi w:val="0"/>
              <w:jc w:val="center"/>
              <w:rPr>
                <w:color w:val="auto"/>
                <w:lang w:val="en-US" w:eastAsia="en-US"/>
              </w:rPr>
            </w:pPr>
            <w:r>
              <w:rPr>
                <w:color w:val="auto"/>
                <w:lang w:val="en-US" w:eastAsia="en-US"/>
              </w:rPr>
              <w:t>╳</w:t>
            </w:r>
          </w:p>
        </w:tc>
        <w:tc>
          <w:tcPr>
            <w:tcW w:w="386" w:type="pct"/>
            <w:vAlign w:val="center"/>
          </w:tcPr>
          <w:p>
            <w:pPr>
              <w:pStyle w:val="17"/>
              <w:bidi w:val="0"/>
              <w:jc w:val="center"/>
              <w:rPr>
                <w:color w:val="auto"/>
                <w:lang w:val="en-US" w:eastAsia="en-US"/>
              </w:rPr>
            </w:pPr>
            <w:r>
              <w:rPr>
                <w:color w:val="auto"/>
                <w:lang w:val="en-US"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5" w:hRule="atLeast"/>
        </w:trPr>
        <w:tc>
          <w:tcPr>
            <w:tcW w:w="1156" w:type="pct"/>
            <w:vAlign w:val="center"/>
          </w:tcPr>
          <w:p>
            <w:pPr>
              <w:pStyle w:val="17"/>
              <w:bidi w:val="0"/>
              <w:jc w:val="center"/>
              <w:rPr>
                <w:color w:val="auto"/>
                <w:lang w:val="en-US" w:eastAsia="en-US"/>
              </w:rPr>
            </w:pPr>
            <w:r>
              <w:rPr>
                <w:color w:val="auto"/>
                <w:lang w:val="en-US" w:eastAsia="en-US"/>
              </w:rPr>
              <w:t>蓄水池</w:t>
            </w:r>
          </w:p>
        </w:tc>
        <w:tc>
          <w:tcPr>
            <w:tcW w:w="385"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450"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5" w:type="pct"/>
            <w:vAlign w:val="center"/>
          </w:tcPr>
          <w:p>
            <w:pPr>
              <w:pStyle w:val="17"/>
              <w:bidi w:val="0"/>
              <w:jc w:val="center"/>
              <w:rPr>
                <w:color w:val="auto"/>
                <w:lang w:val="en-US" w:eastAsia="en-US"/>
              </w:rPr>
            </w:pPr>
            <w:r>
              <w:rPr>
                <w:color w:val="auto"/>
                <w:lang w:val="en-US" w:eastAsia="en-US"/>
              </w:rPr>
              <w:t>√</w:t>
            </w:r>
          </w:p>
        </w:tc>
        <w:tc>
          <w:tcPr>
            <w:tcW w:w="386" w:type="pct"/>
            <w:vAlign w:val="center"/>
          </w:tcPr>
          <w:p>
            <w:pPr>
              <w:pStyle w:val="17"/>
              <w:bidi w:val="0"/>
              <w:jc w:val="center"/>
              <w:rPr>
                <w:color w:val="auto"/>
                <w:lang w:val="en-US" w:eastAsia="en-US"/>
              </w:rPr>
            </w:pPr>
            <w:r>
              <w:rPr>
                <w:color w:val="auto"/>
                <w:lang w:val="en-US"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5" w:hRule="atLeast"/>
        </w:trPr>
        <w:tc>
          <w:tcPr>
            <w:tcW w:w="1156" w:type="pct"/>
            <w:vAlign w:val="center"/>
          </w:tcPr>
          <w:p>
            <w:pPr>
              <w:pStyle w:val="17"/>
              <w:bidi w:val="0"/>
              <w:jc w:val="center"/>
              <w:rPr>
                <w:color w:val="auto"/>
                <w:lang w:val="en-US" w:eastAsia="en-US"/>
              </w:rPr>
            </w:pPr>
            <w:r>
              <w:rPr>
                <w:color w:val="auto"/>
                <w:lang w:val="en-US" w:eastAsia="en-US"/>
              </w:rPr>
              <w:t>雨水罐</w:t>
            </w:r>
          </w:p>
        </w:tc>
        <w:tc>
          <w:tcPr>
            <w:tcW w:w="385"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450"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5" w:type="pct"/>
            <w:vAlign w:val="center"/>
          </w:tcPr>
          <w:p>
            <w:pPr>
              <w:pStyle w:val="17"/>
              <w:bidi w:val="0"/>
              <w:jc w:val="center"/>
              <w:rPr>
                <w:color w:val="auto"/>
                <w:lang w:val="en-US" w:eastAsia="en-US"/>
              </w:rPr>
            </w:pPr>
            <w:r>
              <w:rPr>
                <w:color w:val="auto"/>
                <w:lang w:val="en-US" w:eastAsia="en-US"/>
              </w:rPr>
              <w:t>√</w:t>
            </w:r>
          </w:p>
        </w:tc>
        <w:tc>
          <w:tcPr>
            <w:tcW w:w="386" w:type="pct"/>
            <w:vAlign w:val="center"/>
          </w:tcPr>
          <w:p>
            <w:pPr>
              <w:pStyle w:val="17"/>
              <w:bidi w:val="0"/>
              <w:jc w:val="center"/>
              <w:rPr>
                <w:color w:val="auto"/>
                <w:lang w:val="en-US" w:eastAsia="en-US"/>
              </w:rPr>
            </w:pPr>
            <w:r>
              <w:rPr>
                <w:color w:val="auto"/>
                <w:lang w:val="en-US"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5" w:hRule="atLeast"/>
        </w:trPr>
        <w:tc>
          <w:tcPr>
            <w:tcW w:w="1156" w:type="pct"/>
            <w:vAlign w:val="center"/>
          </w:tcPr>
          <w:p>
            <w:pPr>
              <w:pStyle w:val="17"/>
              <w:bidi w:val="0"/>
              <w:jc w:val="center"/>
              <w:rPr>
                <w:color w:val="auto"/>
                <w:lang w:val="en-US" w:eastAsia="en-US"/>
              </w:rPr>
            </w:pPr>
            <w:r>
              <w:rPr>
                <w:color w:val="auto"/>
                <w:lang w:val="en-US" w:eastAsia="en-US"/>
              </w:rPr>
              <w:t>调节塘</w:t>
            </w:r>
          </w:p>
        </w:tc>
        <w:tc>
          <w:tcPr>
            <w:tcW w:w="385"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450"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5" w:type="pct"/>
            <w:vAlign w:val="center"/>
          </w:tcPr>
          <w:p>
            <w:pPr>
              <w:pStyle w:val="17"/>
              <w:bidi w:val="0"/>
              <w:jc w:val="center"/>
              <w:rPr>
                <w:color w:val="auto"/>
                <w:lang w:val="en-US" w:eastAsia="en-US"/>
              </w:rPr>
            </w:pPr>
            <w:r>
              <w:rPr>
                <w:color w:val="auto"/>
                <w:lang w:val="en-US" w:eastAsia="en-US"/>
              </w:rPr>
              <w:t>╳</w:t>
            </w:r>
          </w:p>
        </w:tc>
        <w:tc>
          <w:tcPr>
            <w:tcW w:w="386" w:type="pct"/>
            <w:vAlign w:val="center"/>
          </w:tcPr>
          <w:p>
            <w:pPr>
              <w:pStyle w:val="17"/>
              <w:bidi w:val="0"/>
              <w:jc w:val="center"/>
              <w:rPr>
                <w:color w:val="auto"/>
                <w:lang w:val="en-US" w:eastAsia="en-US"/>
              </w:rPr>
            </w:pPr>
            <w:r>
              <w:rPr>
                <w:color w:val="auto"/>
                <w:lang w:val="en-US"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5" w:hRule="atLeast"/>
        </w:trPr>
        <w:tc>
          <w:tcPr>
            <w:tcW w:w="1156" w:type="pct"/>
            <w:vAlign w:val="center"/>
          </w:tcPr>
          <w:p>
            <w:pPr>
              <w:pStyle w:val="17"/>
              <w:bidi w:val="0"/>
              <w:jc w:val="center"/>
              <w:rPr>
                <w:color w:val="auto"/>
                <w:lang w:val="en-US" w:eastAsia="en-US"/>
              </w:rPr>
            </w:pPr>
            <w:r>
              <w:rPr>
                <w:color w:val="auto"/>
                <w:lang w:val="en-US" w:eastAsia="en-US"/>
              </w:rPr>
              <w:t>调节池</w:t>
            </w:r>
          </w:p>
        </w:tc>
        <w:tc>
          <w:tcPr>
            <w:tcW w:w="385"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450"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5" w:type="pct"/>
            <w:vAlign w:val="center"/>
          </w:tcPr>
          <w:p>
            <w:pPr>
              <w:pStyle w:val="17"/>
              <w:bidi w:val="0"/>
              <w:jc w:val="center"/>
              <w:rPr>
                <w:color w:val="auto"/>
                <w:lang w:val="en-US" w:eastAsia="en-US"/>
              </w:rPr>
            </w:pPr>
            <w:r>
              <w:rPr>
                <w:color w:val="auto"/>
                <w:lang w:val="en-US" w:eastAsia="en-US"/>
              </w:rPr>
              <w:t>○</w:t>
            </w:r>
          </w:p>
        </w:tc>
        <w:tc>
          <w:tcPr>
            <w:tcW w:w="386" w:type="pct"/>
            <w:vAlign w:val="center"/>
          </w:tcPr>
          <w:p>
            <w:pPr>
              <w:pStyle w:val="17"/>
              <w:bidi w:val="0"/>
              <w:jc w:val="center"/>
              <w:rPr>
                <w:color w:val="auto"/>
                <w:lang w:val="en-US" w:eastAsia="en-US"/>
              </w:rPr>
            </w:pPr>
            <w:r>
              <w:rPr>
                <w:color w:val="auto"/>
                <w:lang w:val="en-US"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rPr>
        <w:tc>
          <w:tcPr>
            <w:tcW w:w="1156" w:type="pct"/>
            <w:vAlign w:val="center"/>
          </w:tcPr>
          <w:p>
            <w:pPr>
              <w:pStyle w:val="17"/>
              <w:bidi w:val="0"/>
              <w:jc w:val="center"/>
              <w:rPr>
                <w:color w:val="auto"/>
                <w:lang w:val="en-US" w:eastAsia="en-US"/>
              </w:rPr>
            </w:pPr>
            <w:r>
              <w:rPr>
                <w:color w:val="auto"/>
                <w:lang w:val="en-US" w:eastAsia="en-US"/>
              </w:rPr>
              <w:t>植草沟</w:t>
            </w:r>
          </w:p>
        </w:tc>
        <w:tc>
          <w:tcPr>
            <w:tcW w:w="385"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450"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5" w:type="pct"/>
            <w:vAlign w:val="center"/>
          </w:tcPr>
          <w:p>
            <w:pPr>
              <w:pStyle w:val="17"/>
              <w:bidi w:val="0"/>
              <w:jc w:val="center"/>
              <w:rPr>
                <w:color w:val="auto"/>
                <w:lang w:val="en-US" w:eastAsia="en-US"/>
              </w:rPr>
            </w:pPr>
            <w:r>
              <w:rPr>
                <w:color w:val="auto"/>
                <w:lang w:val="en-US" w:eastAsia="en-US"/>
              </w:rPr>
              <w:t>√</w:t>
            </w:r>
          </w:p>
        </w:tc>
        <w:tc>
          <w:tcPr>
            <w:tcW w:w="386" w:type="pct"/>
            <w:vAlign w:val="center"/>
          </w:tcPr>
          <w:p>
            <w:pPr>
              <w:pStyle w:val="17"/>
              <w:bidi w:val="0"/>
              <w:jc w:val="center"/>
              <w:rPr>
                <w:color w:val="auto"/>
                <w:lang w:val="en-US" w:eastAsia="en-US"/>
              </w:rPr>
            </w:pPr>
            <w:r>
              <w:rPr>
                <w:color w:val="auto"/>
                <w:lang w:val="en-US"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8" w:hRule="atLeast"/>
        </w:trPr>
        <w:tc>
          <w:tcPr>
            <w:tcW w:w="1156" w:type="pct"/>
            <w:vAlign w:val="center"/>
          </w:tcPr>
          <w:p>
            <w:pPr>
              <w:pStyle w:val="17"/>
              <w:bidi w:val="0"/>
              <w:jc w:val="center"/>
              <w:rPr>
                <w:color w:val="auto"/>
                <w:lang w:val="en-US" w:eastAsia="en-US"/>
              </w:rPr>
            </w:pPr>
            <w:r>
              <w:rPr>
                <w:color w:val="auto"/>
                <w:lang w:val="en-US" w:eastAsia="en-US"/>
              </w:rPr>
              <w:t>渗管/渠</w:t>
            </w:r>
          </w:p>
        </w:tc>
        <w:tc>
          <w:tcPr>
            <w:tcW w:w="385"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450"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5" w:type="pct"/>
            <w:vAlign w:val="center"/>
          </w:tcPr>
          <w:p>
            <w:pPr>
              <w:pStyle w:val="17"/>
              <w:bidi w:val="0"/>
              <w:jc w:val="center"/>
              <w:rPr>
                <w:color w:val="auto"/>
                <w:lang w:val="en-US" w:eastAsia="en-US"/>
              </w:rPr>
            </w:pPr>
            <w:r>
              <w:rPr>
                <w:color w:val="auto"/>
                <w:lang w:val="en-US" w:eastAsia="en-US"/>
              </w:rPr>
              <w:t>○</w:t>
            </w:r>
          </w:p>
        </w:tc>
        <w:tc>
          <w:tcPr>
            <w:tcW w:w="386" w:type="pct"/>
            <w:vAlign w:val="center"/>
          </w:tcPr>
          <w:p>
            <w:pPr>
              <w:pStyle w:val="17"/>
              <w:bidi w:val="0"/>
              <w:jc w:val="center"/>
              <w:rPr>
                <w:color w:val="auto"/>
                <w:lang w:val="en-US" w:eastAsia="en-US"/>
              </w:rPr>
            </w:pPr>
            <w:r>
              <w:rPr>
                <w:color w:val="auto"/>
                <w:lang w:val="en-US"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atLeast"/>
        </w:trPr>
        <w:tc>
          <w:tcPr>
            <w:tcW w:w="1156" w:type="pct"/>
            <w:vAlign w:val="center"/>
          </w:tcPr>
          <w:p>
            <w:pPr>
              <w:pStyle w:val="17"/>
              <w:bidi w:val="0"/>
              <w:jc w:val="center"/>
              <w:rPr>
                <w:color w:val="auto"/>
                <w:lang w:val="en-US" w:eastAsia="en-US"/>
              </w:rPr>
            </w:pPr>
            <w:r>
              <w:rPr>
                <w:color w:val="auto"/>
                <w:lang w:val="en-US" w:eastAsia="en-US"/>
              </w:rPr>
              <w:t>植被缓冲带</w:t>
            </w:r>
          </w:p>
        </w:tc>
        <w:tc>
          <w:tcPr>
            <w:tcW w:w="385"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450"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5" w:type="pct"/>
            <w:vAlign w:val="center"/>
          </w:tcPr>
          <w:p>
            <w:pPr>
              <w:pStyle w:val="17"/>
              <w:bidi w:val="0"/>
              <w:jc w:val="center"/>
              <w:rPr>
                <w:color w:val="auto"/>
                <w:lang w:val="en-US" w:eastAsia="en-US"/>
              </w:rPr>
            </w:pPr>
            <w:r>
              <w:rPr>
                <w:color w:val="auto"/>
                <w:lang w:val="en-US" w:eastAsia="en-US"/>
              </w:rPr>
              <w:t>○</w:t>
            </w:r>
          </w:p>
        </w:tc>
        <w:tc>
          <w:tcPr>
            <w:tcW w:w="386" w:type="pct"/>
            <w:vAlign w:val="center"/>
          </w:tcPr>
          <w:p>
            <w:pPr>
              <w:pStyle w:val="17"/>
              <w:bidi w:val="0"/>
              <w:jc w:val="center"/>
              <w:rPr>
                <w:color w:val="auto"/>
                <w:lang w:val="en-US" w:eastAsia="en-US"/>
              </w:rPr>
            </w:pPr>
            <w:r>
              <w:rPr>
                <w:color w:val="auto"/>
                <w:lang w:val="en-US"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trPr>
        <w:tc>
          <w:tcPr>
            <w:tcW w:w="1156" w:type="pct"/>
            <w:vAlign w:val="center"/>
          </w:tcPr>
          <w:p>
            <w:pPr>
              <w:pStyle w:val="17"/>
              <w:bidi w:val="0"/>
              <w:jc w:val="center"/>
              <w:rPr>
                <w:color w:val="auto"/>
                <w:lang w:val="en-US" w:eastAsia="en-US"/>
              </w:rPr>
            </w:pPr>
            <w:r>
              <w:rPr>
                <w:color w:val="auto"/>
                <w:lang w:val="en-US" w:eastAsia="en-US"/>
              </w:rPr>
              <w:t>初期雨水弃流设施</w:t>
            </w:r>
          </w:p>
        </w:tc>
        <w:tc>
          <w:tcPr>
            <w:tcW w:w="385"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450"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5" w:type="pct"/>
            <w:vAlign w:val="center"/>
          </w:tcPr>
          <w:p>
            <w:pPr>
              <w:pStyle w:val="17"/>
              <w:bidi w:val="0"/>
              <w:jc w:val="center"/>
              <w:rPr>
                <w:color w:val="auto"/>
                <w:lang w:val="en-US" w:eastAsia="en-US"/>
              </w:rPr>
            </w:pPr>
            <w:r>
              <w:rPr>
                <w:color w:val="auto"/>
                <w:lang w:val="en-US" w:eastAsia="en-US"/>
              </w:rPr>
              <w:t>√</w:t>
            </w:r>
          </w:p>
        </w:tc>
        <w:tc>
          <w:tcPr>
            <w:tcW w:w="386" w:type="pct"/>
            <w:vAlign w:val="center"/>
          </w:tcPr>
          <w:p>
            <w:pPr>
              <w:pStyle w:val="17"/>
              <w:bidi w:val="0"/>
              <w:jc w:val="center"/>
              <w:rPr>
                <w:color w:val="auto"/>
                <w:lang w:val="en-US" w:eastAsia="en-US"/>
              </w:rPr>
            </w:pPr>
            <w:r>
              <w:rPr>
                <w:color w:val="auto"/>
                <w:lang w:val="en-US"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8" w:hRule="atLeast"/>
        </w:trPr>
        <w:tc>
          <w:tcPr>
            <w:tcW w:w="1156" w:type="pct"/>
            <w:vAlign w:val="center"/>
          </w:tcPr>
          <w:p>
            <w:pPr>
              <w:pStyle w:val="17"/>
              <w:bidi w:val="0"/>
              <w:jc w:val="center"/>
              <w:rPr>
                <w:color w:val="auto"/>
                <w:lang w:val="en-US" w:eastAsia="en-US"/>
              </w:rPr>
            </w:pPr>
            <w:r>
              <w:rPr>
                <w:color w:val="auto"/>
                <w:lang w:val="en-US" w:eastAsia="en-US"/>
              </w:rPr>
              <w:t>下沉式广场</w:t>
            </w:r>
          </w:p>
        </w:tc>
        <w:tc>
          <w:tcPr>
            <w:tcW w:w="385"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450"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3" w:type="pct"/>
            <w:vAlign w:val="center"/>
          </w:tcPr>
          <w:p>
            <w:pPr>
              <w:pStyle w:val="17"/>
              <w:bidi w:val="0"/>
              <w:jc w:val="center"/>
              <w:rPr>
                <w:color w:val="auto"/>
                <w:lang w:val="en-US" w:eastAsia="en-US"/>
              </w:rPr>
            </w:pPr>
            <w:r>
              <w:rPr>
                <w:color w:val="auto"/>
                <w:lang w:val="en-US" w:eastAsia="en-US"/>
              </w:rPr>
              <w:t>√</w:t>
            </w:r>
          </w:p>
        </w:tc>
        <w:tc>
          <w:tcPr>
            <w:tcW w:w="525" w:type="pct"/>
            <w:vAlign w:val="center"/>
          </w:tcPr>
          <w:p>
            <w:pPr>
              <w:pStyle w:val="17"/>
              <w:bidi w:val="0"/>
              <w:jc w:val="center"/>
              <w:rPr>
                <w:color w:val="auto"/>
                <w:lang w:val="en-US" w:eastAsia="en-US"/>
              </w:rPr>
            </w:pPr>
            <w:r>
              <w:rPr>
                <w:color w:val="auto"/>
                <w:lang w:val="en-US" w:eastAsia="en-US"/>
              </w:rPr>
              <w:t>○</w:t>
            </w:r>
          </w:p>
        </w:tc>
        <w:tc>
          <w:tcPr>
            <w:tcW w:w="386" w:type="pct"/>
            <w:vAlign w:val="center"/>
          </w:tcPr>
          <w:p>
            <w:pPr>
              <w:pStyle w:val="17"/>
              <w:bidi w:val="0"/>
              <w:jc w:val="center"/>
              <w:rPr>
                <w:color w:val="auto"/>
                <w:lang w:val="en-US" w:eastAsia="en-US"/>
              </w:rPr>
            </w:pPr>
            <w:r>
              <w:rPr>
                <w:color w:val="auto"/>
                <w:lang w:val="en-US" w:eastAsia="en-US"/>
              </w:rPr>
              <w:t>√</w:t>
            </w:r>
          </w:p>
        </w:tc>
      </w:tr>
    </w:tbl>
    <w:p>
      <w:pPr>
        <w:bidi w:val="0"/>
        <w:rPr>
          <w:rFonts w:hint="eastAsia"/>
          <w:color w:val="auto"/>
          <w:lang w:eastAsia="en-US"/>
        </w:rPr>
      </w:pPr>
      <w:r>
        <w:rPr>
          <w:rFonts w:hint="eastAsia"/>
          <w:color w:val="auto"/>
          <w:lang w:eastAsia="en-US"/>
        </w:rPr>
        <w:t>注：√——宜选用，○——可选用，╳——不宜选用</w:t>
      </w:r>
    </w:p>
    <w:p>
      <w:pPr>
        <w:bidi w:val="0"/>
        <w:rPr>
          <w:rFonts w:hint="eastAsia"/>
          <w:color w:val="auto"/>
          <w:lang w:eastAsia="en-US"/>
        </w:rPr>
      </w:pPr>
      <w:r>
        <w:rPr>
          <w:rFonts w:hint="eastAsia"/>
          <w:color w:val="auto"/>
          <w:lang w:eastAsia="en-US"/>
        </w:rPr>
        <w:t>5、LID设施方案</w:t>
      </w:r>
    </w:p>
    <w:p>
      <w:pPr>
        <w:bidi w:val="0"/>
        <w:rPr>
          <w:rFonts w:hint="eastAsia"/>
          <w:color w:val="auto"/>
          <w:lang w:eastAsia="en-US"/>
        </w:rPr>
      </w:pPr>
      <w:r>
        <w:rPr>
          <w:rFonts w:hint="eastAsia"/>
          <w:color w:val="auto"/>
          <w:lang w:eastAsia="en-US"/>
        </w:rPr>
        <w:t>（1）屋面雨水</w:t>
      </w:r>
    </w:p>
    <w:p>
      <w:pPr>
        <w:bidi w:val="0"/>
        <w:rPr>
          <w:rFonts w:hint="eastAsia"/>
          <w:color w:val="auto"/>
          <w:lang w:eastAsia="en-US"/>
        </w:rPr>
      </w:pPr>
      <w:r>
        <w:rPr>
          <w:rFonts w:hint="eastAsia"/>
          <w:color w:val="auto"/>
          <w:lang w:eastAsia="en-US"/>
        </w:rPr>
        <w:t>建筑屋面雨水通过雨水立管收集后出口散排接入高位花坛、下沉绿地、雨水花园等地表海绵设施。</w:t>
      </w:r>
    </w:p>
    <w:p>
      <w:pPr>
        <w:bidi w:val="0"/>
        <w:rPr>
          <w:rFonts w:hint="eastAsia"/>
          <w:color w:val="auto"/>
          <w:lang w:eastAsia="en-US"/>
        </w:rPr>
      </w:pPr>
      <w:r>
        <w:rPr>
          <w:rFonts w:hint="eastAsia"/>
          <w:color w:val="auto"/>
          <w:lang w:eastAsia="en-US"/>
        </w:rPr>
        <w:t>（2）路面雨水</w:t>
      </w:r>
    </w:p>
    <w:p>
      <w:pPr>
        <w:bidi w:val="0"/>
        <w:rPr>
          <w:rFonts w:hint="eastAsia"/>
          <w:color w:val="auto"/>
          <w:lang w:eastAsia="en-US"/>
        </w:rPr>
      </w:pPr>
      <w:r>
        <w:rPr>
          <w:rFonts w:hint="eastAsia"/>
          <w:color w:val="auto"/>
          <w:lang w:eastAsia="en-US"/>
        </w:rPr>
        <w:t>结合景观设计，部分人行铺装采用透水铺装，削减区域雨水径流系数。雨水先行通过渗透型路面下渗，减少地表径流量，缓解区域热岛效应，超过下渗能力的雨水或不透水路面雨水径流结合道路纵坡、横坡、路牙开孔等设置进入路边或下游下沉绿地、雨水花园等海绵设施。</w:t>
      </w:r>
    </w:p>
    <w:p>
      <w:pPr>
        <w:bidi w:val="0"/>
        <w:rPr>
          <w:rFonts w:hint="eastAsia"/>
          <w:color w:val="auto"/>
          <w:lang w:eastAsia="en-US"/>
        </w:rPr>
      </w:pPr>
      <w:r>
        <w:rPr>
          <w:rFonts w:hint="eastAsia"/>
          <w:color w:val="auto"/>
          <w:lang w:eastAsia="en-US"/>
        </w:rPr>
        <w:t>（3）绿化雨水</w:t>
      </w:r>
    </w:p>
    <w:p>
      <w:pPr>
        <w:bidi w:val="0"/>
        <w:rPr>
          <w:rFonts w:hint="eastAsia"/>
          <w:color w:val="auto"/>
          <w:lang w:eastAsia="en-US"/>
        </w:rPr>
      </w:pPr>
      <w:r>
        <w:rPr>
          <w:rFonts w:hint="eastAsia"/>
          <w:color w:val="auto"/>
          <w:lang w:eastAsia="en-US"/>
        </w:rPr>
        <w:t>结合雨水立管位置、景观设计，在较低点因地制宜地布置下沉式绿地等海绵设施，绿化雨水通过微地形导流至海绵设施内进行净化、蓄滞或下渗，超标雨水通过溢流雨水口收集至雨水管道系统。</w:t>
      </w:r>
    </w:p>
    <w:p>
      <w:pPr>
        <w:bidi w:val="0"/>
        <w:rPr>
          <w:rFonts w:hint="eastAsia"/>
          <w:color w:val="auto"/>
          <w:lang w:eastAsia="en-US"/>
        </w:rPr>
      </w:pPr>
      <w:r>
        <w:rPr>
          <w:rFonts w:hint="eastAsia"/>
          <w:color w:val="auto"/>
          <w:lang w:eastAsia="en-US"/>
        </w:rPr>
        <w:t>综合以上，本工程海绵城市LID设施主要采用下沉式绿地、透水铺装、生态停车位、初期雨水弃流设施及雨水收集利用系统相结合的方案。</w:t>
      </w:r>
    </w:p>
    <w:p>
      <w:pPr>
        <w:bidi w:val="0"/>
        <w:rPr>
          <w:rFonts w:hint="eastAsia"/>
          <w:color w:val="auto"/>
          <w:lang w:eastAsia="en-US"/>
        </w:rPr>
      </w:pPr>
      <w:r>
        <w:rPr>
          <w:rFonts w:hint="eastAsia"/>
          <w:color w:val="auto"/>
          <w:lang w:eastAsia="en-US"/>
        </w:rPr>
        <w:t>6、LID设施达标分析</w:t>
      </w:r>
    </w:p>
    <w:p>
      <w:pPr>
        <w:bidi w:val="0"/>
        <w:rPr>
          <w:color w:val="auto"/>
          <w:lang w:eastAsia="en-US"/>
        </w:rPr>
      </w:pPr>
      <w:r>
        <w:rPr>
          <w:rFonts w:hint="eastAsia"/>
          <w:color w:val="auto"/>
          <w:lang w:eastAsia="en-US"/>
        </w:rPr>
        <w:t>根据《室外排水设计标准》GB50014-2021、《建筑与小区雨水控制及利用工程技术规范》GB50400-2016、《雨水利用工程技术规范》SZDB/Z49-2011、《海绵城市建设技术指南——低影响开发雨水系统构建》（2014）。</w:t>
      </w:r>
    </w:p>
    <w:tbl>
      <w:tblPr>
        <w:tblStyle w:val="1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34"/>
        <w:gridCol w:w="4791"/>
        <w:gridCol w:w="1326"/>
        <w:gridCol w:w="1289"/>
        <w:gridCol w:w="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9" w:hRule="atLeast"/>
        </w:trPr>
        <w:tc>
          <w:tcPr>
            <w:tcW w:w="2970" w:type="pct"/>
            <w:gridSpan w:val="2"/>
            <w:vMerge w:val="restart"/>
            <w:vAlign w:val="center"/>
          </w:tcPr>
          <w:p>
            <w:pPr>
              <w:pStyle w:val="17"/>
              <w:bidi w:val="0"/>
              <w:jc w:val="center"/>
              <w:rPr>
                <w:color w:val="auto"/>
                <w:lang w:val="en-US" w:eastAsia="en-US"/>
              </w:rPr>
            </w:pPr>
            <w:r>
              <w:rPr>
                <w:color w:val="auto"/>
                <w:lang w:val="en-US" w:eastAsia="en-US"/>
              </w:rPr>
              <w:t>下垫面类别</w:t>
            </w:r>
          </w:p>
        </w:tc>
        <w:tc>
          <w:tcPr>
            <w:tcW w:w="1515" w:type="pct"/>
            <w:gridSpan w:val="2"/>
            <w:vAlign w:val="center"/>
          </w:tcPr>
          <w:p>
            <w:pPr>
              <w:pStyle w:val="17"/>
              <w:bidi w:val="0"/>
              <w:jc w:val="center"/>
              <w:rPr>
                <w:color w:val="auto"/>
                <w:lang w:val="en-US" w:eastAsia="en-US"/>
              </w:rPr>
            </w:pPr>
            <w:r>
              <w:rPr>
                <w:color w:val="auto"/>
                <w:lang w:val="en-US" w:eastAsia="en-US"/>
              </w:rPr>
              <w:t>雨量径流系数</w:t>
            </w:r>
          </w:p>
        </w:tc>
        <w:tc>
          <w:tcPr>
            <w:tcW w:w="514" w:type="pct"/>
            <w:vMerge w:val="restart"/>
            <w:vAlign w:val="center"/>
          </w:tcPr>
          <w:p>
            <w:pPr>
              <w:pStyle w:val="17"/>
              <w:bidi w:val="0"/>
              <w:jc w:val="center"/>
              <w:rPr>
                <w:color w:val="auto"/>
                <w:lang w:eastAsia="en-US"/>
              </w:rPr>
            </w:pPr>
          </w:p>
          <w:p>
            <w:pPr>
              <w:pStyle w:val="17"/>
              <w:bidi w:val="0"/>
              <w:jc w:val="center"/>
              <w:rPr>
                <w:color w:val="auto"/>
                <w:lang w:val="en-US" w:eastAsia="en-US"/>
              </w:rPr>
            </w:pPr>
            <w:r>
              <w:rPr>
                <w:color w:val="auto"/>
                <w:lang w:val="en-US" w:eastAsia="en-US"/>
              </w:rPr>
              <w:t>流量径</w:t>
            </w:r>
          </w:p>
          <w:p>
            <w:pPr>
              <w:pStyle w:val="17"/>
              <w:bidi w:val="0"/>
              <w:jc w:val="center"/>
              <w:rPr>
                <w:color w:val="auto"/>
                <w:lang w:val="en-US" w:eastAsia="en-US"/>
              </w:rPr>
            </w:pPr>
            <w:r>
              <w:rPr>
                <w:color w:val="auto"/>
                <w:lang w:val="en-US" w:eastAsia="en-US"/>
              </w:rPr>
              <w:t>流系数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4" w:hRule="atLeast"/>
        </w:trPr>
        <w:tc>
          <w:tcPr>
            <w:tcW w:w="2970" w:type="pct"/>
            <w:gridSpan w:val="2"/>
            <w:vMerge w:val="continue"/>
            <w:vAlign w:val="center"/>
          </w:tcPr>
          <w:p>
            <w:pPr>
              <w:pStyle w:val="17"/>
              <w:bidi w:val="0"/>
              <w:jc w:val="center"/>
              <w:rPr>
                <w:color w:val="auto"/>
                <w:lang w:eastAsia="en-US"/>
              </w:rPr>
            </w:pPr>
          </w:p>
        </w:tc>
        <w:tc>
          <w:tcPr>
            <w:tcW w:w="768" w:type="pct"/>
            <w:vAlign w:val="center"/>
          </w:tcPr>
          <w:p>
            <w:pPr>
              <w:pStyle w:val="17"/>
              <w:bidi w:val="0"/>
              <w:jc w:val="center"/>
              <w:rPr>
                <w:color w:val="auto"/>
                <w:lang w:val="en-US" w:eastAsia="en-US"/>
              </w:rPr>
            </w:pPr>
            <w:r>
              <w:rPr>
                <w:color w:val="auto"/>
                <w:lang w:val="en-US" w:eastAsia="en-US"/>
              </w:rPr>
              <w:t>年均雨量径</w:t>
            </w:r>
          </w:p>
          <w:p>
            <w:pPr>
              <w:pStyle w:val="17"/>
              <w:bidi w:val="0"/>
              <w:jc w:val="center"/>
              <w:rPr>
                <w:color w:val="auto"/>
                <w:lang w:val="en-US" w:eastAsia="en-US"/>
              </w:rPr>
            </w:pPr>
            <w:r>
              <w:rPr>
                <w:color w:val="auto"/>
                <w:lang w:val="en-US" w:eastAsia="en-US"/>
              </w:rPr>
              <w:t>流系数</w:t>
            </w:r>
          </w:p>
        </w:tc>
        <w:tc>
          <w:tcPr>
            <w:tcW w:w="746" w:type="pct"/>
            <w:vAlign w:val="center"/>
          </w:tcPr>
          <w:p>
            <w:pPr>
              <w:pStyle w:val="17"/>
              <w:bidi w:val="0"/>
              <w:jc w:val="center"/>
              <w:rPr>
                <w:color w:val="auto"/>
                <w:lang w:val="en-US" w:eastAsia="en-US"/>
              </w:rPr>
            </w:pPr>
            <w:r>
              <w:rPr>
                <w:color w:val="auto"/>
                <w:lang w:val="en-US" w:eastAsia="en-US"/>
              </w:rPr>
              <w:t>场均雨量径</w:t>
            </w:r>
          </w:p>
          <w:p>
            <w:pPr>
              <w:pStyle w:val="17"/>
              <w:bidi w:val="0"/>
              <w:jc w:val="center"/>
              <w:rPr>
                <w:color w:val="auto"/>
                <w:lang w:val="en-US" w:eastAsia="en-US"/>
              </w:rPr>
            </w:pPr>
            <w:r>
              <w:rPr>
                <w:color w:val="auto"/>
                <w:lang w:val="en-US" w:eastAsia="en-US"/>
              </w:rPr>
              <w:t>流系数</w:t>
            </w:r>
          </w:p>
        </w:tc>
        <w:tc>
          <w:tcPr>
            <w:tcW w:w="514" w:type="pct"/>
            <w:vMerge w:val="continue"/>
            <w:vAlign w:val="center"/>
          </w:tcPr>
          <w:p>
            <w:pPr>
              <w:pStyle w:val="17"/>
              <w:bidi w:val="0"/>
              <w:jc w:val="center"/>
              <w:rPr>
                <w:color w:val="auto"/>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4" w:hRule="atLeast"/>
        </w:trPr>
        <w:tc>
          <w:tcPr>
            <w:tcW w:w="258" w:type="pct"/>
            <w:vMerge w:val="restart"/>
            <w:textDirection w:val="tbRlV"/>
            <w:vAlign w:val="center"/>
          </w:tcPr>
          <w:p>
            <w:pPr>
              <w:pStyle w:val="17"/>
              <w:bidi w:val="0"/>
              <w:jc w:val="center"/>
              <w:rPr>
                <w:color w:val="auto"/>
                <w:lang w:val="en-US" w:eastAsia="en-US"/>
              </w:rPr>
            </w:pPr>
            <w:r>
              <w:rPr>
                <w:color w:val="auto"/>
                <w:lang w:val="en-US" w:eastAsia="en-US"/>
              </w:rPr>
              <w:t>路面</w:t>
            </w:r>
          </w:p>
        </w:tc>
        <w:tc>
          <w:tcPr>
            <w:tcW w:w="2711" w:type="pct"/>
            <w:vAlign w:val="center"/>
          </w:tcPr>
          <w:p>
            <w:pPr>
              <w:pStyle w:val="17"/>
              <w:bidi w:val="0"/>
              <w:jc w:val="center"/>
              <w:rPr>
                <w:color w:val="auto"/>
                <w:lang w:val="en-US" w:eastAsia="en-US"/>
              </w:rPr>
            </w:pPr>
            <w:r>
              <w:rPr>
                <w:color w:val="auto"/>
                <w:lang w:val="en-US" w:eastAsia="en-US"/>
              </w:rPr>
              <w:t>混凝土或沥青路面及广场</w:t>
            </w:r>
          </w:p>
        </w:tc>
        <w:tc>
          <w:tcPr>
            <w:tcW w:w="768" w:type="pct"/>
            <w:vAlign w:val="center"/>
          </w:tcPr>
          <w:p>
            <w:pPr>
              <w:pStyle w:val="17"/>
              <w:bidi w:val="0"/>
              <w:jc w:val="center"/>
              <w:rPr>
                <w:color w:val="auto"/>
                <w:lang w:val="en-US" w:eastAsia="en-US"/>
              </w:rPr>
            </w:pPr>
            <w:r>
              <w:rPr>
                <w:color w:val="auto"/>
                <w:lang w:val="en-US" w:eastAsia="en-US"/>
              </w:rPr>
              <w:t>0.80</w:t>
            </w:r>
          </w:p>
        </w:tc>
        <w:tc>
          <w:tcPr>
            <w:tcW w:w="746" w:type="pct"/>
            <w:vAlign w:val="center"/>
          </w:tcPr>
          <w:p>
            <w:pPr>
              <w:pStyle w:val="17"/>
              <w:bidi w:val="0"/>
              <w:jc w:val="center"/>
              <w:rPr>
                <w:color w:val="auto"/>
                <w:lang w:val="en-US" w:eastAsia="en-US"/>
              </w:rPr>
            </w:pPr>
            <w:r>
              <w:rPr>
                <w:color w:val="auto"/>
                <w:lang w:val="en-US" w:eastAsia="en-US"/>
              </w:rPr>
              <w:t>0.90</w:t>
            </w:r>
          </w:p>
        </w:tc>
        <w:tc>
          <w:tcPr>
            <w:tcW w:w="514" w:type="pct"/>
            <w:vAlign w:val="center"/>
          </w:tcPr>
          <w:p>
            <w:pPr>
              <w:pStyle w:val="17"/>
              <w:bidi w:val="0"/>
              <w:jc w:val="center"/>
              <w:rPr>
                <w:color w:val="auto"/>
                <w:lang w:val="en-US" w:eastAsia="en-US"/>
              </w:rPr>
            </w:pPr>
            <w:r>
              <w:rPr>
                <w:color w:val="auto"/>
                <w:lang w:val="en-US" w:eastAsia="en-US"/>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4" w:hRule="atLeast"/>
        </w:trPr>
        <w:tc>
          <w:tcPr>
            <w:tcW w:w="258" w:type="pct"/>
            <w:vMerge w:val="continue"/>
            <w:textDirection w:val="tbRlV"/>
            <w:vAlign w:val="center"/>
          </w:tcPr>
          <w:p>
            <w:pPr>
              <w:pStyle w:val="17"/>
              <w:bidi w:val="0"/>
              <w:jc w:val="center"/>
              <w:rPr>
                <w:color w:val="auto"/>
                <w:lang w:eastAsia="en-US"/>
              </w:rPr>
            </w:pPr>
          </w:p>
        </w:tc>
        <w:tc>
          <w:tcPr>
            <w:tcW w:w="2711" w:type="pct"/>
            <w:vAlign w:val="center"/>
          </w:tcPr>
          <w:p>
            <w:pPr>
              <w:pStyle w:val="17"/>
              <w:bidi w:val="0"/>
              <w:jc w:val="center"/>
              <w:rPr>
                <w:color w:val="auto"/>
                <w:lang w:val="en-US" w:eastAsia="en-US"/>
              </w:rPr>
            </w:pPr>
            <w:r>
              <w:rPr>
                <w:color w:val="auto"/>
                <w:lang w:val="en-US" w:eastAsia="en-US"/>
              </w:rPr>
              <w:t>大块石等铺砌路面及广场</w:t>
            </w:r>
          </w:p>
        </w:tc>
        <w:tc>
          <w:tcPr>
            <w:tcW w:w="768" w:type="pct"/>
            <w:vAlign w:val="center"/>
          </w:tcPr>
          <w:p>
            <w:pPr>
              <w:pStyle w:val="17"/>
              <w:bidi w:val="0"/>
              <w:jc w:val="center"/>
              <w:rPr>
                <w:color w:val="auto"/>
                <w:lang w:val="en-US" w:eastAsia="en-US"/>
              </w:rPr>
            </w:pPr>
            <w:r>
              <w:rPr>
                <w:color w:val="auto"/>
                <w:lang w:val="en-US" w:eastAsia="en-US"/>
              </w:rPr>
              <w:t>0.50</w:t>
            </w:r>
          </w:p>
        </w:tc>
        <w:tc>
          <w:tcPr>
            <w:tcW w:w="746" w:type="pct"/>
            <w:vAlign w:val="center"/>
          </w:tcPr>
          <w:p>
            <w:pPr>
              <w:pStyle w:val="17"/>
              <w:bidi w:val="0"/>
              <w:jc w:val="center"/>
              <w:rPr>
                <w:color w:val="auto"/>
                <w:lang w:val="en-US" w:eastAsia="en-US"/>
              </w:rPr>
            </w:pPr>
            <w:r>
              <w:rPr>
                <w:color w:val="auto"/>
                <w:lang w:val="en-US" w:eastAsia="en-US"/>
              </w:rPr>
              <w:t>0.60</w:t>
            </w:r>
          </w:p>
        </w:tc>
        <w:tc>
          <w:tcPr>
            <w:tcW w:w="514" w:type="pct"/>
            <w:vAlign w:val="center"/>
          </w:tcPr>
          <w:p>
            <w:pPr>
              <w:pStyle w:val="17"/>
              <w:bidi w:val="0"/>
              <w:jc w:val="center"/>
              <w:rPr>
                <w:color w:val="auto"/>
                <w:lang w:val="en-US" w:eastAsia="en-US"/>
              </w:rPr>
            </w:pPr>
            <w:r>
              <w:rPr>
                <w:color w:val="auto"/>
                <w:lang w:val="en-US" w:eastAsia="en-US"/>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258" w:type="pct"/>
            <w:vMerge w:val="continue"/>
            <w:textDirection w:val="tbRlV"/>
            <w:vAlign w:val="center"/>
          </w:tcPr>
          <w:p>
            <w:pPr>
              <w:pStyle w:val="17"/>
              <w:bidi w:val="0"/>
              <w:jc w:val="center"/>
              <w:rPr>
                <w:color w:val="auto"/>
                <w:lang w:eastAsia="en-US"/>
              </w:rPr>
            </w:pPr>
          </w:p>
        </w:tc>
        <w:tc>
          <w:tcPr>
            <w:tcW w:w="2711" w:type="pct"/>
            <w:vAlign w:val="center"/>
          </w:tcPr>
          <w:p>
            <w:pPr>
              <w:pStyle w:val="17"/>
              <w:bidi w:val="0"/>
              <w:jc w:val="center"/>
              <w:rPr>
                <w:color w:val="auto"/>
                <w:lang w:val="en-US" w:eastAsia="en-US"/>
              </w:rPr>
            </w:pPr>
            <w:r>
              <w:rPr>
                <w:color w:val="auto"/>
                <w:lang w:val="en-US" w:eastAsia="en-US"/>
              </w:rPr>
              <w:t>沥青表面处理的碎石路面及广场</w:t>
            </w:r>
          </w:p>
        </w:tc>
        <w:tc>
          <w:tcPr>
            <w:tcW w:w="768" w:type="pct"/>
            <w:vAlign w:val="center"/>
          </w:tcPr>
          <w:p>
            <w:pPr>
              <w:pStyle w:val="17"/>
              <w:bidi w:val="0"/>
              <w:jc w:val="center"/>
              <w:rPr>
                <w:color w:val="auto"/>
                <w:lang w:val="en-US" w:eastAsia="en-US"/>
              </w:rPr>
            </w:pPr>
            <w:r>
              <w:rPr>
                <w:color w:val="auto"/>
                <w:lang w:val="en-US" w:eastAsia="en-US"/>
              </w:rPr>
              <w:t>0.45</w:t>
            </w:r>
          </w:p>
        </w:tc>
        <w:tc>
          <w:tcPr>
            <w:tcW w:w="746" w:type="pct"/>
            <w:vAlign w:val="center"/>
          </w:tcPr>
          <w:p>
            <w:pPr>
              <w:pStyle w:val="17"/>
              <w:bidi w:val="0"/>
              <w:jc w:val="center"/>
              <w:rPr>
                <w:color w:val="auto"/>
                <w:lang w:val="en-US" w:eastAsia="en-US"/>
              </w:rPr>
            </w:pPr>
            <w:r>
              <w:rPr>
                <w:color w:val="auto"/>
                <w:lang w:val="en-US" w:eastAsia="en-US"/>
              </w:rPr>
              <w:t>0.55</w:t>
            </w:r>
          </w:p>
        </w:tc>
        <w:tc>
          <w:tcPr>
            <w:tcW w:w="514" w:type="pct"/>
            <w:vAlign w:val="center"/>
          </w:tcPr>
          <w:p>
            <w:pPr>
              <w:pStyle w:val="17"/>
              <w:bidi w:val="0"/>
              <w:jc w:val="center"/>
              <w:rPr>
                <w:color w:val="auto"/>
                <w:lang w:val="en-US" w:eastAsia="en-US"/>
              </w:rPr>
            </w:pPr>
            <w:r>
              <w:rPr>
                <w:color w:val="auto"/>
                <w:lang w:val="en-US" w:eastAsia="en-US"/>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258" w:type="pct"/>
            <w:vMerge w:val="continue"/>
            <w:textDirection w:val="tbRlV"/>
            <w:vAlign w:val="center"/>
          </w:tcPr>
          <w:p>
            <w:pPr>
              <w:pStyle w:val="17"/>
              <w:bidi w:val="0"/>
              <w:jc w:val="center"/>
              <w:rPr>
                <w:color w:val="auto"/>
                <w:lang w:eastAsia="en-US"/>
              </w:rPr>
            </w:pPr>
          </w:p>
        </w:tc>
        <w:tc>
          <w:tcPr>
            <w:tcW w:w="2711" w:type="pct"/>
            <w:vAlign w:val="center"/>
          </w:tcPr>
          <w:p>
            <w:pPr>
              <w:pStyle w:val="17"/>
              <w:bidi w:val="0"/>
              <w:jc w:val="center"/>
              <w:rPr>
                <w:color w:val="auto"/>
                <w:lang w:val="en-US" w:eastAsia="en-US"/>
              </w:rPr>
            </w:pPr>
            <w:r>
              <w:rPr>
                <w:color w:val="auto"/>
                <w:lang w:val="en-US" w:eastAsia="en-US"/>
              </w:rPr>
              <w:t>级配碎石路面及广场</w:t>
            </w:r>
          </w:p>
        </w:tc>
        <w:tc>
          <w:tcPr>
            <w:tcW w:w="768" w:type="pct"/>
            <w:vAlign w:val="center"/>
          </w:tcPr>
          <w:p>
            <w:pPr>
              <w:pStyle w:val="17"/>
              <w:bidi w:val="0"/>
              <w:jc w:val="center"/>
              <w:rPr>
                <w:color w:val="auto"/>
                <w:lang w:val="en-US" w:eastAsia="en-US"/>
              </w:rPr>
            </w:pPr>
            <w:r>
              <w:rPr>
                <w:color w:val="auto"/>
                <w:lang w:val="en-US" w:eastAsia="en-US"/>
              </w:rPr>
              <w:t>0.35</w:t>
            </w:r>
          </w:p>
        </w:tc>
        <w:tc>
          <w:tcPr>
            <w:tcW w:w="746" w:type="pct"/>
            <w:vAlign w:val="center"/>
          </w:tcPr>
          <w:p>
            <w:pPr>
              <w:pStyle w:val="17"/>
              <w:bidi w:val="0"/>
              <w:jc w:val="center"/>
              <w:rPr>
                <w:color w:val="auto"/>
                <w:lang w:val="en-US" w:eastAsia="en-US"/>
              </w:rPr>
            </w:pPr>
            <w:r>
              <w:rPr>
                <w:color w:val="auto"/>
                <w:lang w:val="en-US" w:eastAsia="en-US"/>
              </w:rPr>
              <w:t>0.40</w:t>
            </w:r>
          </w:p>
        </w:tc>
        <w:tc>
          <w:tcPr>
            <w:tcW w:w="514" w:type="pct"/>
            <w:vAlign w:val="center"/>
          </w:tcPr>
          <w:p>
            <w:pPr>
              <w:pStyle w:val="17"/>
              <w:bidi w:val="0"/>
              <w:jc w:val="center"/>
              <w:rPr>
                <w:color w:val="auto"/>
                <w:lang w:val="en-US" w:eastAsia="en-US"/>
              </w:rPr>
            </w:pPr>
            <w:r>
              <w:rPr>
                <w:color w:val="auto"/>
                <w:lang w:val="en-US" w:eastAsia="en-US"/>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258" w:type="pct"/>
            <w:vMerge w:val="continue"/>
            <w:textDirection w:val="tbRlV"/>
            <w:vAlign w:val="center"/>
          </w:tcPr>
          <w:p>
            <w:pPr>
              <w:pStyle w:val="17"/>
              <w:bidi w:val="0"/>
              <w:jc w:val="center"/>
              <w:rPr>
                <w:color w:val="auto"/>
                <w:lang w:eastAsia="en-US"/>
              </w:rPr>
            </w:pPr>
          </w:p>
        </w:tc>
        <w:tc>
          <w:tcPr>
            <w:tcW w:w="2711" w:type="pct"/>
            <w:vAlign w:val="center"/>
          </w:tcPr>
          <w:p>
            <w:pPr>
              <w:pStyle w:val="17"/>
              <w:bidi w:val="0"/>
              <w:jc w:val="center"/>
              <w:rPr>
                <w:color w:val="auto"/>
                <w:lang w:val="en-US" w:eastAsia="en-US"/>
              </w:rPr>
            </w:pPr>
            <w:r>
              <w:rPr>
                <w:color w:val="auto"/>
                <w:lang w:val="en-US" w:eastAsia="en-US"/>
              </w:rPr>
              <w:t>干砌砖石或碎石路面及广场</w:t>
            </w:r>
          </w:p>
        </w:tc>
        <w:tc>
          <w:tcPr>
            <w:tcW w:w="768" w:type="pct"/>
            <w:vAlign w:val="center"/>
          </w:tcPr>
          <w:p>
            <w:pPr>
              <w:pStyle w:val="17"/>
              <w:bidi w:val="0"/>
              <w:jc w:val="center"/>
              <w:rPr>
                <w:color w:val="auto"/>
                <w:lang w:val="en-US" w:eastAsia="en-US"/>
              </w:rPr>
            </w:pPr>
            <w:r>
              <w:rPr>
                <w:color w:val="auto"/>
                <w:lang w:val="en-US" w:eastAsia="en-US"/>
              </w:rPr>
              <w:t>0.35</w:t>
            </w:r>
          </w:p>
        </w:tc>
        <w:tc>
          <w:tcPr>
            <w:tcW w:w="746" w:type="pct"/>
            <w:vAlign w:val="center"/>
          </w:tcPr>
          <w:p>
            <w:pPr>
              <w:pStyle w:val="17"/>
              <w:bidi w:val="0"/>
              <w:jc w:val="center"/>
              <w:rPr>
                <w:color w:val="auto"/>
                <w:lang w:val="en-US" w:eastAsia="en-US"/>
              </w:rPr>
            </w:pPr>
            <w:r>
              <w:rPr>
                <w:color w:val="auto"/>
                <w:lang w:val="en-US" w:eastAsia="en-US"/>
              </w:rPr>
              <w:t>0.40</w:t>
            </w:r>
          </w:p>
        </w:tc>
        <w:tc>
          <w:tcPr>
            <w:tcW w:w="514" w:type="pct"/>
            <w:vAlign w:val="center"/>
          </w:tcPr>
          <w:p>
            <w:pPr>
              <w:pStyle w:val="17"/>
              <w:bidi w:val="0"/>
              <w:jc w:val="center"/>
              <w:rPr>
                <w:color w:val="auto"/>
                <w:lang w:val="en-US" w:eastAsia="en-US"/>
              </w:rPr>
            </w:pPr>
            <w:r>
              <w:rPr>
                <w:color w:val="auto"/>
                <w:lang w:val="en-US" w:eastAsia="en-US"/>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258" w:type="pct"/>
            <w:vMerge w:val="continue"/>
            <w:textDirection w:val="tbRlV"/>
            <w:vAlign w:val="center"/>
          </w:tcPr>
          <w:p>
            <w:pPr>
              <w:pStyle w:val="17"/>
              <w:bidi w:val="0"/>
              <w:jc w:val="center"/>
              <w:rPr>
                <w:color w:val="auto"/>
                <w:lang w:eastAsia="en-US"/>
              </w:rPr>
            </w:pPr>
          </w:p>
        </w:tc>
        <w:tc>
          <w:tcPr>
            <w:tcW w:w="2711" w:type="pct"/>
            <w:vAlign w:val="center"/>
          </w:tcPr>
          <w:p>
            <w:pPr>
              <w:pStyle w:val="17"/>
              <w:bidi w:val="0"/>
              <w:jc w:val="center"/>
              <w:rPr>
                <w:color w:val="auto"/>
                <w:lang w:val="en-US" w:eastAsia="en-US"/>
              </w:rPr>
            </w:pPr>
            <w:r>
              <w:rPr>
                <w:color w:val="auto"/>
                <w:lang w:val="en-US" w:eastAsia="en-US"/>
              </w:rPr>
              <w:t>非铺砌的土路面</w:t>
            </w:r>
          </w:p>
        </w:tc>
        <w:tc>
          <w:tcPr>
            <w:tcW w:w="768" w:type="pct"/>
            <w:vAlign w:val="center"/>
          </w:tcPr>
          <w:p>
            <w:pPr>
              <w:pStyle w:val="17"/>
              <w:bidi w:val="0"/>
              <w:jc w:val="center"/>
              <w:rPr>
                <w:color w:val="auto"/>
                <w:lang w:val="en-US" w:eastAsia="en-US"/>
              </w:rPr>
            </w:pPr>
            <w:r>
              <w:rPr>
                <w:color w:val="auto"/>
                <w:lang w:val="en-US" w:eastAsia="en-US"/>
              </w:rPr>
              <w:t>0.25</w:t>
            </w:r>
          </w:p>
        </w:tc>
        <w:tc>
          <w:tcPr>
            <w:tcW w:w="746" w:type="pct"/>
            <w:vAlign w:val="center"/>
          </w:tcPr>
          <w:p>
            <w:pPr>
              <w:pStyle w:val="17"/>
              <w:bidi w:val="0"/>
              <w:jc w:val="center"/>
              <w:rPr>
                <w:color w:val="auto"/>
                <w:lang w:val="en-US" w:eastAsia="en-US"/>
              </w:rPr>
            </w:pPr>
            <w:r>
              <w:rPr>
                <w:color w:val="auto"/>
                <w:lang w:val="en-US" w:eastAsia="en-US"/>
              </w:rPr>
              <w:t>0.30</w:t>
            </w:r>
          </w:p>
        </w:tc>
        <w:tc>
          <w:tcPr>
            <w:tcW w:w="514" w:type="pct"/>
            <w:vAlign w:val="center"/>
          </w:tcPr>
          <w:p>
            <w:pPr>
              <w:pStyle w:val="17"/>
              <w:bidi w:val="0"/>
              <w:jc w:val="center"/>
              <w:rPr>
                <w:color w:val="auto"/>
                <w:lang w:val="en-US" w:eastAsia="en-US"/>
              </w:rPr>
            </w:pPr>
            <w:r>
              <w:rPr>
                <w:color w:val="auto"/>
                <w:lang w:val="en-US" w:eastAsia="en-US"/>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258" w:type="pct"/>
            <w:vMerge w:val="restart"/>
            <w:textDirection w:val="tbRlV"/>
            <w:vAlign w:val="center"/>
          </w:tcPr>
          <w:p>
            <w:pPr>
              <w:pStyle w:val="17"/>
              <w:bidi w:val="0"/>
              <w:jc w:val="center"/>
              <w:rPr>
                <w:color w:val="auto"/>
                <w:lang w:val="en-US" w:eastAsia="en-US"/>
              </w:rPr>
            </w:pPr>
            <w:r>
              <w:rPr>
                <w:color w:val="auto"/>
                <w:lang w:val="en-US" w:eastAsia="en-US"/>
              </w:rPr>
              <w:t>铺装</w:t>
            </w:r>
          </w:p>
        </w:tc>
        <w:tc>
          <w:tcPr>
            <w:tcW w:w="2711" w:type="pct"/>
            <w:vAlign w:val="center"/>
          </w:tcPr>
          <w:p>
            <w:pPr>
              <w:pStyle w:val="17"/>
              <w:bidi w:val="0"/>
              <w:jc w:val="center"/>
              <w:rPr>
                <w:color w:val="auto"/>
                <w:lang w:val="en-US" w:eastAsia="en-US"/>
              </w:rPr>
            </w:pPr>
            <w:r>
              <w:rPr>
                <w:color w:val="auto"/>
                <w:lang w:val="en-US" w:eastAsia="en-US"/>
              </w:rPr>
              <w:t>非植草类透水铺装（工程透水层厚度≥300mm）</w:t>
            </w:r>
          </w:p>
        </w:tc>
        <w:tc>
          <w:tcPr>
            <w:tcW w:w="768" w:type="pct"/>
            <w:vAlign w:val="center"/>
          </w:tcPr>
          <w:p>
            <w:pPr>
              <w:pStyle w:val="17"/>
              <w:bidi w:val="0"/>
              <w:jc w:val="center"/>
              <w:rPr>
                <w:color w:val="auto"/>
                <w:lang w:val="en-US" w:eastAsia="en-US"/>
              </w:rPr>
            </w:pPr>
            <w:r>
              <w:rPr>
                <w:color w:val="auto"/>
                <w:lang w:val="en-US" w:eastAsia="en-US"/>
              </w:rPr>
              <w:t>0.20</w:t>
            </w:r>
          </w:p>
        </w:tc>
        <w:tc>
          <w:tcPr>
            <w:tcW w:w="746" w:type="pct"/>
            <w:vAlign w:val="center"/>
          </w:tcPr>
          <w:p>
            <w:pPr>
              <w:pStyle w:val="17"/>
              <w:bidi w:val="0"/>
              <w:jc w:val="center"/>
              <w:rPr>
                <w:color w:val="auto"/>
                <w:lang w:val="en-US" w:eastAsia="en-US"/>
              </w:rPr>
            </w:pPr>
            <w:r>
              <w:rPr>
                <w:color w:val="auto"/>
                <w:lang w:val="en-US" w:eastAsia="en-US"/>
              </w:rPr>
              <w:t>0.25</w:t>
            </w:r>
          </w:p>
        </w:tc>
        <w:tc>
          <w:tcPr>
            <w:tcW w:w="514" w:type="pct"/>
            <w:vAlign w:val="center"/>
          </w:tcPr>
          <w:p>
            <w:pPr>
              <w:pStyle w:val="17"/>
              <w:bidi w:val="0"/>
              <w:jc w:val="center"/>
              <w:rPr>
                <w:color w:val="auto"/>
                <w:lang w:val="en-US" w:eastAsia="en-US"/>
              </w:rPr>
            </w:pPr>
            <w:r>
              <w:rPr>
                <w:color w:val="auto"/>
                <w:lang w:val="en-US" w:eastAsia="en-US"/>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258" w:type="pct"/>
            <w:vMerge w:val="continue"/>
            <w:textDirection w:val="tbRlV"/>
            <w:vAlign w:val="center"/>
          </w:tcPr>
          <w:p>
            <w:pPr>
              <w:pStyle w:val="17"/>
              <w:bidi w:val="0"/>
              <w:jc w:val="center"/>
              <w:rPr>
                <w:color w:val="auto"/>
                <w:lang w:eastAsia="en-US"/>
              </w:rPr>
            </w:pPr>
          </w:p>
        </w:tc>
        <w:tc>
          <w:tcPr>
            <w:tcW w:w="2711" w:type="pct"/>
            <w:vAlign w:val="center"/>
          </w:tcPr>
          <w:p>
            <w:pPr>
              <w:pStyle w:val="17"/>
              <w:bidi w:val="0"/>
              <w:jc w:val="center"/>
              <w:rPr>
                <w:color w:val="auto"/>
                <w:lang w:val="en-US" w:eastAsia="en-US"/>
              </w:rPr>
            </w:pPr>
            <w:r>
              <w:rPr>
                <w:color w:val="auto"/>
                <w:lang w:val="en-US" w:eastAsia="en-US"/>
              </w:rPr>
              <w:t>非植草类透水铺装（工程透水层厚度&lt;300mm）</w:t>
            </w:r>
          </w:p>
        </w:tc>
        <w:tc>
          <w:tcPr>
            <w:tcW w:w="768" w:type="pct"/>
            <w:vAlign w:val="center"/>
          </w:tcPr>
          <w:p>
            <w:pPr>
              <w:pStyle w:val="17"/>
              <w:bidi w:val="0"/>
              <w:jc w:val="center"/>
              <w:rPr>
                <w:color w:val="auto"/>
                <w:lang w:val="en-US" w:eastAsia="en-US"/>
              </w:rPr>
            </w:pPr>
            <w:r>
              <w:rPr>
                <w:color w:val="auto"/>
                <w:lang w:val="en-US" w:eastAsia="en-US"/>
              </w:rPr>
              <w:t>0.30</w:t>
            </w:r>
          </w:p>
        </w:tc>
        <w:tc>
          <w:tcPr>
            <w:tcW w:w="746" w:type="pct"/>
            <w:vAlign w:val="center"/>
          </w:tcPr>
          <w:p>
            <w:pPr>
              <w:pStyle w:val="17"/>
              <w:bidi w:val="0"/>
              <w:jc w:val="center"/>
              <w:rPr>
                <w:color w:val="auto"/>
                <w:lang w:val="en-US" w:eastAsia="en-US"/>
              </w:rPr>
            </w:pPr>
            <w:r>
              <w:rPr>
                <w:color w:val="auto"/>
                <w:lang w:val="en-US" w:eastAsia="en-US"/>
              </w:rPr>
              <w:t>0.40</w:t>
            </w:r>
          </w:p>
        </w:tc>
        <w:tc>
          <w:tcPr>
            <w:tcW w:w="514" w:type="pct"/>
            <w:vAlign w:val="center"/>
          </w:tcPr>
          <w:p>
            <w:pPr>
              <w:pStyle w:val="17"/>
              <w:bidi w:val="0"/>
              <w:jc w:val="center"/>
              <w:rPr>
                <w:color w:val="auto"/>
                <w:lang w:val="en-US" w:eastAsia="en-US"/>
              </w:rPr>
            </w:pPr>
            <w:r>
              <w:rPr>
                <w:color w:val="auto"/>
                <w:lang w:val="en-US" w:eastAsia="en-US"/>
              </w:rPr>
              <w:t>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258" w:type="pct"/>
            <w:vMerge w:val="continue"/>
            <w:textDirection w:val="tbRlV"/>
            <w:vAlign w:val="center"/>
          </w:tcPr>
          <w:p>
            <w:pPr>
              <w:pStyle w:val="17"/>
              <w:bidi w:val="0"/>
              <w:jc w:val="center"/>
              <w:rPr>
                <w:color w:val="auto"/>
                <w:lang w:eastAsia="en-US"/>
              </w:rPr>
            </w:pPr>
          </w:p>
        </w:tc>
        <w:tc>
          <w:tcPr>
            <w:tcW w:w="2711" w:type="pct"/>
            <w:vAlign w:val="center"/>
          </w:tcPr>
          <w:p>
            <w:pPr>
              <w:pStyle w:val="17"/>
              <w:bidi w:val="0"/>
              <w:jc w:val="center"/>
              <w:rPr>
                <w:color w:val="auto"/>
                <w:lang w:val="en-US" w:eastAsia="en-US"/>
              </w:rPr>
            </w:pPr>
            <w:r>
              <w:rPr>
                <w:color w:val="auto"/>
                <w:lang w:val="en-US" w:eastAsia="en-US"/>
              </w:rPr>
              <w:t>植草类透水铺装（工程透水层厚度≥300mm）</w:t>
            </w:r>
          </w:p>
        </w:tc>
        <w:tc>
          <w:tcPr>
            <w:tcW w:w="768" w:type="pct"/>
            <w:vAlign w:val="center"/>
          </w:tcPr>
          <w:p>
            <w:pPr>
              <w:pStyle w:val="17"/>
              <w:bidi w:val="0"/>
              <w:jc w:val="center"/>
              <w:rPr>
                <w:color w:val="auto"/>
                <w:lang w:val="en-US" w:eastAsia="en-US"/>
              </w:rPr>
            </w:pPr>
            <w:r>
              <w:rPr>
                <w:color w:val="auto"/>
                <w:lang w:val="en-US" w:eastAsia="en-US"/>
              </w:rPr>
              <w:t>0.06</w:t>
            </w:r>
          </w:p>
        </w:tc>
        <w:tc>
          <w:tcPr>
            <w:tcW w:w="746" w:type="pct"/>
            <w:vAlign w:val="center"/>
          </w:tcPr>
          <w:p>
            <w:pPr>
              <w:pStyle w:val="17"/>
              <w:bidi w:val="0"/>
              <w:jc w:val="center"/>
              <w:rPr>
                <w:color w:val="auto"/>
                <w:lang w:val="en-US" w:eastAsia="en-US"/>
              </w:rPr>
            </w:pPr>
            <w:r>
              <w:rPr>
                <w:color w:val="auto"/>
                <w:lang w:val="en-US" w:eastAsia="en-US"/>
              </w:rPr>
              <w:t>0.08</w:t>
            </w:r>
          </w:p>
        </w:tc>
        <w:tc>
          <w:tcPr>
            <w:tcW w:w="514" w:type="pct"/>
            <w:vAlign w:val="center"/>
          </w:tcPr>
          <w:p>
            <w:pPr>
              <w:pStyle w:val="17"/>
              <w:bidi w:val="0"/>
              <w:jc w:val="center"/>
              <w:rPr>
                <w:color w:val="auto"/>
                <w:lang w:val="en-US" w:eastAsia="en-US"/>
              </w:rPr>
            </w:pPr>
            <w:r>
              <w:rPr>
                <w:color w:val="auto"/>
                <w:lang w:val="en-US" w:eastAsia="en-US"/>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258" w:type="pct"/>
            <w:vMerge w:val="continue"/>
            <w:textDirection w:val="tbRlV"/>
            <w:vAlign w:val="center"/>
          </w:tcPr>
          <w:p>
            <w:pPr>
              <w:pStyle w:val="17"/>
              <w:bidi w:val="0"/>
              <w:jc w:val="center"/>
              <w:rPr>
                <w:color w:val="auto"/>
                <w:lang w:eastAsia="en-US"/>
              </w:rPr>
            </w:pPr>
          </w:p>
        </w:tc>
        <w:tc>
          <w:tcPr>
            <w:tcW w:w="2711" w:type="pct"/>
            <w:vAlign w:val="center"/>
          </w:tcPr>
          <w:p>
            <w:pPr>
              <w:pStyle w:val="17"/>
              <w:bidi w:val="0"/>
              <w:jc w:val="center"/>
              <w:rPr>
                <w:color w:val="auto"/>
                <w:lang w:val="en-US" w:eastAsia="en-US"/>
              </w:rPr>
            </w:pPr>
            <w:r>
              <w:rPr>
                <w:color w:val="auto"/>
                <w:lang w:val="en-US" w:eastAsia="en-US"/>
              </w:rPr>
              <w:t>植草类透水铺装（工程透水层厚度</w:t>
            </w:r>
          </w:p>
        </w:tc>
        <w:tc>
          <w:tcPr>
            <w:tcW w:w="768" w:type="pct"/>
            <w:vAlign w:val="center"/>
          </w:tcPr>
          <w:p>
            <w:pPr>
              <w:pStyle w:val="17"/>
              <w:bidi w:val="0"/>
              <w:jc w:val="center"/>
              <w:rPr>
                <w:color w:val="auto"/>
                <w:lang w:val="en-US" w:eastAsia="en-US"/>
              </w:rPr>
            </w:pPr>
            <w:r>
              <w:rPr>
                <w:color w:val="auto"/>
                <w:lang w:val="en-US" w:eastAsia="en-US"/>
              </w:rPr>
              <w:t>0.12</w:t>
            </w:r>
          </w:p>
        </w:tc>
        <w:tc>
          <w:tcPr>
            <w:tcW w:w="746" w:type="pct"/>
            <w:vAlign w:val="center"/>
          </w:tcPr>
          <w:p>
            <w:pPr>
              <w:pStyle w:val="17"/>
              <w:bidi w:val="0"/>
              <w:jc w:val="center"/>
              <w:rPr>
                <w:color w:val="auto"/>
                <w:lang w:val="en-US" w:eastAsia="en-US"/>
              </w:rPr>
            </w:pPr>
            <w:r>
              <w:rPr>
                <w:color w:val="auto"/>
                <w:lang w:val="en-US" w:eastAsia="en-US"/>
              </w:rPr>
              <w:t>0.15</w:t>
            </w:r>
          </w:p>
        </w:tc>
        <w:tc>
          <w:tcPr>
            <w:tcW w:w="514" w:type="pct"/>
            <w:vAlign w:val="center"/>
          </w:tcPr>
          <w:p>
            <w:pPr>
              <w:pStyle w:val="17"/>
              <w:bidi w:val="0"/>
              <w:jc w:val="center"/>
              <w:rPr>
                <w:color w:val="auto"/>
                <w:lang w:val="en-US" w:eastAsia="en-US"/>
              </w:rPr>
            </w:pPr>
            <w:r>
              <w:rPr>
                <w:color w:val="auto"/>
                <w:lang w:val="en-US" w:eastAsia="en-US"/>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258" w:type="pct"/>
            <w:vMerge w:val="restart"/>
            <w:textDirection w:val="tbRlV"/>
            <w:vAlign w:val="center"/>
          </w:tcPr>
          <w:p>
            <w:pPr>
              <w:pStyle w:val="17"/>
              <w:bidi w:val="0"/>
              <w:jc w:val="center"/>
              <w:rPr>
                <w:color w:val="auto"/>
                <w:lang w:val="en-US" w:eastAsia="en-US"/>
              </w:rPr>
            </w:pPr>
            <w:r>
              <w:rPr>
                <w:color w:val="auto"/>
                <w:lang w:val="en-US" w:eastAsia="en-US"/>
              </w:rPr>
              <w:t>绿地</w:t>
            </w:r>
          </w:p>
        </w:tc>
        <w:tc>
          <w:tcPr>
            <w:tcW w:w="2711" w:type="pct"/>
            <w:vAlign w:val="center"/>
          </w:tcPr>
          <w:p>
            <w:pPr>
              <w:pStyle w:val="17"/>
              <w:bidi w:val="0"/>
              <w:jc w:val="center"/>
              <w:rPr>
                <w:color w:val="auto"/>
                <w:lang w:val="en-US" w:eastAsia="en-US"/>
              </w:rPr>
            </w:pPr>
            <w:r>
              <w:rPr>
                <w:color w:val="auto"/>
                <w:lang w:val="en-US" w:eastAsia="en-US"/>
              </w:rPr>
              <w:t>无地下建筑绿地</w:t>
            </w:r>
          </w:p>
        </w:tc>
        <w:tc>
          <w:tcPr>
            <w:tcW w:w="768" w:type="pct"/>
            <w:vAlign w:val="center"/>
          </w:tcPr>
          <w:p>
            <w:pPr>
              <w:pStyle w:val="17"/>
              <w:bidi w:val="0"/>
              <w:jc w:val="center"/>
              <w:rPr>
                <w:color w:val="auto"/>
                <w:lang w:val="en-US" w:eastAsia="en-US"/>
              </w:rPr>
            </w:pPr>
            <w:r>
              <w:rPr>
                <w:color w:val="auto"/>
                <w:lang w:val="en-US" w:eastAsia="en-US"/>
              </w:rPr>
              <w:t>0.12</w:t>
            </w:r>
          </w:p>
        </w:tc>
        <w:tc>
          <w:tcPr>
            <w:tcW w:w="746" w:type="pct"/>
            <w:vAlign w:val="center"/>
          </w:tcPr>
          <w:p>
            <w:pPr>
              <w:pStyle w:val="17"/>
              <w:bidi w:val="0"/>
              <w:jc w:val="center"/>
              <w:rPr>
                <w:color w:val="auto"/>
                <w:lang w:val="en-US" w:eastAsia="en-US"/>
              </w:rPr>
            </w:pPr>
            <w:r>
              <w:rPr>
                <w:color w:val="auto"/>
                <w:lang w:val="en-US" w:eastAsia="en-US"/>
              </w:rPr>
              <w:t>0.15</w:t>
            </w:r>
          </w:p>
        </w:tc>
        <w:tc>
          <w:tcPr>
            <w:tcW w:w="514" w:type="pct"/>
            <w:vAlign w:val="center"/>
          </w:tcPr>
          <w:p>
            <w:pPr>
              <w:pStyle w:val="17"/>
              <w:bidi w:val="0"/>
              <w:jc w:val="center"/>
              <w:rPr>
                <w:color w:val="auto"/>
                <w:lang w:val="en-US" w:eastAsia="en-US"/>
              </w:rPr>
            </w:pPr>
            <w:r>
              <w:rPr>
                <w:color w:val="auto"/>
                <w:lang w:val="en-US" w:eastAsia="en-US"/>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258" w:type="pct"/>
            <w:vMerge w:val="continue"/>
            <w:textDirection w:val="tbRlV"/>
            <w:vAlign w:val="center"/>
          </w:tcPr>
          <w:p>
            <w:pPr>
              <w:pStyle w:val="17"/>
              <w:bidi w:val="0"/>
              <w:jc w:val="center"/>
              <w:rPr>
                <w:color w:val="auto"/>
                <w:lang w:eastAsia="en-US"/>
              </w:rPr>
            </w:pPr>
          </w:p>
        </w:tc>
        <w:tc>
          <w:tcPr>
            <w:tcW w:w="2711" w:type="pct"/>
            <w:vAlign w:val="center"/>
          </w:tcPr>
          <w:p>
            <w:pPr>
              <w:pStyle w:val="17"/>
              <w:bidi w:val="0"/>
              <w:jc w:val="center"/>
              <w:rPr>
                <w:color w:val="auto"/>
                <w:lang w:val="en-US" w:eastAsia="en-US"/>
              </w:rPr>
            </w:pPr>
            <w:r>
              <w:rPr>
                <w:color w:val="auto"/>
                <w:lang w:val="en-US" w:eastAsia="en-US"/>
              </w:rPr>
              <w:t>有地下建筑绿地（地下建筑覆土厚度≥500mm）</w:t>
            </w:r>
          </w:p>
        </w:tc>
        <w:tc>
          <w:tcPr>
            <w:tcW w:w="768" w:type="pct"/>
            <w:vAlign w:val="center"/>
          </w:tcPr>
          <w:p>
            <w:pPr>
              <w:pStyle w:val="17"/>
              <w:bidi w:val="0"/>
              <w:jc w:val="center"/>
              <w:rPr>
                <w:color w:val="auto"/>
                <w:lang w:val="en-US" w:eastAsia="en-US"/>
              </w:rPr>
            </w:pPr>
            <w:r>
              <w:rPr>
                <w:color w:val="auto"/>
                <w:lang w:val="en-US" w:eastAsia="en-US"/>
              </w:rPr>
              <w:t>0.15</w:t>
            </w:r>
          </w:p>
        </w:tc>
        <w:tc>
          <w:tcPr>
            <w:tcW w:w="746" w:type="pct"/>
            <w:vAlign w:val="center"/>
          </w:tcPr>
          <w:p>
            <w:pPr>
              <w:pStyle w:val="17"/>
              <w:bidi w:val="0"/>
              <w:jc w:val="center"/>
              <w:rPr>
                <w:color w:val="auto"/>
                <w:lang w:val="en-US" w:eastAsia="en-US"/>
              </w:rPr>
            </w:pPr>
            <w:r>
              <w:rPr>
                <w:color w:val="auto"/>
                <w:lang w:val="en-US" w:eastAsia="en-US"/>
              </w:rPr>
              <w:t>0.20</w:t>
            </w:r>
          </w:p>
        </w:tc>
        <w:tc>
          <w:tcPr>
            <w:tcW w:w="514" w:type="pct"/>
            <w:vAlign w:val="center"/>
          </w:tcPr>
          <w:p>
            <w:pPr>
              <w:pStyle w:val="17"/>
              <w:bidi w:val="0"/>
              <w:jc w:val="center"/>
              <w:rPr>
                <w:color w:val="auto"/>
                <w:lang w:val="en-US" w:eastAsia="en-US"/>
              </w:rPr>
            </w:pPr>
            <w:r>
              <w:rPr>
                <w:color w:val="auto"/>
                <w:lang w:val="en-US" w:eastAsia="en-US"/>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4" w:hRule="atLeast"/>
        </w:trPr>
        <w:tc>
          <w:tcPr>
            <w:tcW w:w="258" w:type="pct"/>
            <w:vMerge w:val="continue"/>
            <w:textDirection w:val="tbRlV"/>
            <w:vAlign w:val="center"/>
          </w:tcPr>
          <w:p>
            <w:pPr>
              <w:pStyle w:val="17"/>
              <w:bidi w:val="0"/>
              <w:jc w:val="center"/>
              <w:rPr>
                <w:color w:val="auto"/>
                <w:lang w:eastAsia="en-US"/>
              </w:rPr>
            </w:pPr>
          </w:p>
        </w:tc>
        <w:tc>
          <w:tcPr>
            <w:tcW w:w="2711" w:type="pct"/>
            <w:vAlign w:val="center"/>
          </w:tcPr>
          <w:p>
            <w:pPr>
              <w:pStyle w:val="17"/>
              <w:bidi w:val="0"/>
              <w:jc w:val="center"/>
              <w:rPr>
                <w:color w:val="auto"/>
                <w:lang w:val="en-US" w:eastAsia="en-US"/>
              </w:rPr>
            </w:pPr>
            <w:r>
              <w:rPr>
                <w:color w:val="auto"/>
                <w:lang w:val="en-US" w:eastAsia="en-US"/>
              </w:rPr>
              <w:t>有地下建筑绿地（地下建筑覆土厚度&lt;500mm）</w:t>
            </w:r>
          </w:p>
        </w:tc>
        <w:tc>
          <w:tcPr>
            <w:tcW w:w="768" w:type="pct"/>
            <w:vAlign w:val="center"/>
          </w:tcPr>
          <w:p>
            <w:pPr>
              <w:pStyle w:val="17"/>
              <w:bidi w:val="0"/>
              <w:jc w:val="center"/>
              <w:rPr>
                <w:color w:val="auto"/>
                <w:lang w:val="en-US" w:eastAsia="en-US"/>
              </w:rPr>
            </w:pPr>
            <w:r>
              <w:rPr>
                <w:color w:val="auto"/>
                <w:lang w:val="en-US" w:eastAsia="en-US"/>
              </w:rPr>
              <w:t>0.30</w:t>
            </w:r>
          </w:p>
        </w:tc>
        <w:tc>
          <w:tcPr>
            <w:tcW w:w="746" w:type="pct"/>
            <w:vAlign w:val="center"/>
          </w:tcPr>
          <w:p>
            <w:pPr>
              <w:pStyle w:val="17"/>
              <w:bidi w:val="0"/>
              <w:jc w:val="center"/>
              <w:rPr>
                <w:color w:val="auto"/>
                <w:lang w:val="en-US" w:eastAsia="en-US"/>
              </w:rPr>
            </w:pPr>
            <w:r>
              <w:rPr>
                <w:color w:val="auto"/>
                <w:lang w:val="en-US" w:eastAsia="en-US"/>
              </w:rPr>
              <w:t>0.40</w:t>
            </w:r>
          </w:p>
        </w:tc>
        <w:tc>
          <w:tcPr>
            <w:tcW w:w="514" w:type="pct"/>
            <w:vAlign w:val="center"/>
          </w:tcPr>
          <w:p>
            <w:pPr>
              <w:pStyle w:val="17"/>
              <w:bidi w:val="0"/>
              <w:jc w:val="center"/>
              <w:rPr>
                <w:color w:val="auto"/>
                <w:lang w:val="en-US" w:eastAsia="en-US"/>
              </w:rPr>
            </w:pPr>
            <w:r>
              <w:rPr>
                <w:color w:val="auto"/>
                <w:lang w:val="en-US" w:eastAsia="en-US"/>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9" w:hRule="atLeast"/>
        </w:trPr>
        <w:tc>
          <w:tcPr>
            <w:tcW w:w="258" w:type="pct"/>
            <w:textDirection w:val="tbRlV"/>
            <w:vAlign w:val="center"/>
          </w:tcPr>
          <w:p>
            <w:pPr>
              <w:pStyle w:val="17"/>
              <w:bidi w:val="0"/>
              <w:jc w:val="center"/>
              <w:rPr>
                <w:color w:val="auto"/>
                <w:lang w:val="en-US" w:eastAsia="en-US"/>
              </w:rPr>
            </w:pPr>
            <w:r>
              <w:rPr>
                <w:color w:val="auto"/>
                <w:lang w:val="en-US" w:eastAsia="en-US"/>
              </w:rPr>
              <w:t>水面</w:t>
            </w:r>
          </w:p>
        </w:tc>
        <w:tc>
          <w:tcPr>
            <w:tcW w:w="2711" w:type="pct"/>
            <w:vAlign w:val="center"/>
          </w:tcPr>
          <w:p>
            <w:pPr>
              <w:pStyle w:val="17"/>
              <w:bidi w:val="0"/>
              <w:jc w:val="center"/>
              <w:rPr>
                <w:color w:val="auto"/>
                <w:lang w:eastAsia="en-US"/>
              </w:rPr>
            </w:pPr>
          </w:p>
          <w:p>
            <w:pPr>
              <w:pStyle w:val="17"/>
              <w:bidi w:val="0"/>
              <w:jc w:val="center"/>
              <w:rPr>
                <w:color w:val="auto"/>
                <w:lang w:val="en-US" w:eastAsia="en-US"/>
              </w:rPr>
            </w:pPr>
            <w:r>
              <w:rPr>
                <w:color w:val="auto"/>
                <w:lang w:val="en-US" w:eastAsia="en-US"/>
              </w:rPr>
              <w:t>水面</w:t>
            </w:r>
          </w:p>
        </w:tc>
        <w:tc>
          <w:tcPr>
            <w:tcW w:w="768" w:type="pct"/>
            <w:vAlign w:val="center"/>
          </w:tcPr>
          <w:p>
            <w:pPr>
              <w:pStyle w:val="17"/>
              <w:bidi w:val="0"/>
              <w:jc w:val="center"/>
              <w:rPr>
                <w:color w:val="auto"/>
                <w:lang w:eastAsia="en-US"/>
              </w:rPr>
            </w:pPr>
          </w:p>
          <w:p>
            <w:pPr>
              <w:pStyle w:val="17"/>
              <w:bidi w:val="0"/>
              <w:jc w:val="center"/>
              <w:rPr>
                <w:color w:val="auto"/>
                <w:lang w:val="en-US" w:eastAsia="en-US"/>
              </w:rPr>
            </w:pPr>
            <w:r>
              <w:rPr>
                <w:color w:val="auto"/>
                <w:lang w:val="en-US" w:eastAsia="en-US"/>
              </w:rPr>
              <w:t>1.00</w:t>
            </w:r>
          </w:p>
        </w:tc>
        <w:tc>
          <w:tcPr>
            <w:tcW w:w="746" w:type="pct"/>
            <w:vAlign w:val="center"/>
          </w:tcPr>
          <w:p>
            <w:pPr>
              <w:pStyle w:val="17"/>
              <w:bidi w:val="0"/>
              <w:jc w:val="center"/>
              <w:rPr>
                <w:color w:val="auto"/>
                <w:lang w:eastAsia="en-US"/>
              </w:rPr>
            </w:pPr>
          </w:p>
          <w:p>
            <w:pPr>
              <w:pStyle w:val="17"/>
              <w:bidi w:val="0"/>
              <w:jc w:val="center"/>
              <w:rPr>
                <w:color w:val="auto"/>
                <w:lang w:val="en-US" w:eastAsia="en-US"/>
              </w:rPr>
            </w:pPr>
            <w:r>
              <w:rPr>
                <w:color w:val="auto"/>
                <w:lang w:val="en-US" w:eastAsia="en-US"/>
              </w:rPr>
              <w:t>1.00</w:t>
            </w:r>
          </w:p>
        </w:tc>
        <w:tc>
          <w:tcPr>
            <w:tcW w:w="514" w:type="pct"/>
            <w:vAlign w:val="center"/>
          </w:tcPr>
          <w:p>
            <w:pPr>
              <w:pStyle w:val="17"/>
              <w:bidi w:val="0"/>
              <w:jc w:val="center"/>
              <w:rPr>
                <w:color w:val="auto"/>
                <w:lang w:eastAsia="en-US"/>
              </w:rPr>
            </w:pPr>
          </w:p>
          <w:p>
            <w:pPr>
              <w:pStyle w:val="17"/>
              <w:bidi w:val="0"/>
              <w:jc w:val="center"/>
              <w:rPr>
                <w:color w:val="auto"/>
                <w:lang w:val="en-US" w:eastAsia="en-US"/>
              </w:rPr>
            </w:pPr>
            <w:r>
              <w:rPr>
                <w:color w:val="auto"/>
                <w:lang w:val="en-US" w:eastAsia="en-US"/>
              </w:rPr>
              <w:t>1.00</w:t>
            </w:r>
          </w:p>
        </w:tc>
      </w:tr>
    </w:tbl>
    <w:p>
      <w:pPr>
        <w:bidi w:val="0"/>
        <w:rPr>
          <w:rFonts w:hint="eastAsia"/>
          <w:color w:val="auto"/>
          <w:lang w:eastAsia="en-US"/>
        </w:rPr>
      </w:pPr>
      <w:r>
        <w:rPr>
          <w:rFonts w:hint="eastAsia"/>
          <w:color w:val="auto"/>
          <w:lang w:eastAsia="en-US"/>
        </w:rPr>
        <w:t>本项目LID设施布设根据容积法、推理法和水量平衡法等进行严格计算，以保证LID设施平面和规模科学合理。本项目LID设施包括生态滞留设施（含下凹式绿地和雨水花园）、透水铺装等，具体如下：</w:t>
      </w:r>
    </w:p>
    <w:p>
      <w:pPr>
        <w:bidi w:val="0"/>
        <w:rPr>
          <w:rFonts w:hint="eastAsia"/>
          <w:color w:val="auto"/>
          <w:lang w:eastAsia="en-US"/>
        </w:rPr>
      </w:pPr>
      <w:r>
        <w:rPr>
          <w:rFonts w:hint="eastAsia"/>
          <w:color w:val="auto"/>
          <w:lang w:eastAsia="en-US"/>
        </w:rPr>
        <w:t>（1）生态滞留设施</w:t>
      </w:r>
    </w:p>
    <w:p>
      <w:pPr>
        <w:bidi w:val="0"/>
        <w:rPr>
          <w:rFonts w:hint="eastAsia"/>
          <w:color w:val="auto"/>
          <w:lang w:eastAsia="en-US"/>
        </w:rPr>
      </w:pPr>
      <w:r>
        <w:rPr>
          <w:rFonts w:hint="eastAsia"/>
          <w:color w:val="auto"/>
          <w:lang w:eastAsia="en-US"/>
        </w:rPr>
        <w:t>本项目生态滞留设施主要为下凹式绿地和雨水花园。调整路面、绿地、雨水口高程关系，使下凹式绿地表面层标高低于周边道路标高或者绿地标高，</w:t>
      </w:r>
    </w:p>
    <w:p>
      <w:pPr>
        <w:bidi w:val="0"/>
        <w:rPr>
          <w:rFonts w:hint="eastAsia"/>
          <w:color w:val="auto"/>
          <w:lang w:eastAsia="en-US"/>
        </w:rPr>
      </w:pPr>
      <w:r>
        <w:rPr>
          <w:rFonts w:hint="eastAsia"/>
          <w:color w:val="auto"/>
          <w:lang w:eastAsia="en-US"/>
        </w:rPr>
        <w:t>则道路、建筑等不透水区域的雨水径流会先流入生态滞留区。雨水花园下层采用碎石等材料保证设施蓄水能力。土壤渗透性差的雨水</w:t>
      </w:r>
      <w:r>
        <w:rPr>
          <w:rFonts w:hint="eastAsia"/>
          <w:color w:val="auto"/>
          <w:spacing w:val="-20"/>
          <w:lang w:eastAsia="en-US"/>
        </w:rPr>
        <w:t>花园和渗透铺装结构下层设置盲管。将长期滞留的雨水排入雨水管网。</w:t>
      </w:r>
    </w:p>
    <w:p>
      <w:pPr>
        <w:bidi w:val="0"/>
        <w:rPr>
          <w:rFonts w:hint="eastAsia"/>
          <w:color w:val="auto"/>
          <w:lang w:eastAsia="en-US"/>
        </w:rPr>
      </w:pPr>
      <w:r>
        <w:rPr>
          <w:rFonts w:hint="eastAsia"/>
          <w:color w:val="auto"/>
          <w:lang w:eastAsia="en-US"/>
        </w:rPr>
        <w:t>（2）透水铺装</w:t>
      </w:r>
    </w:p>
    <w:p>
      <w:pPr>
        <w:bidi w:val="0"/>
        <w:rPr>
          <w:rFonts w:hint="eastAsia"/>
          <w:color w:val="auto"/>
          <w:lang w:eastAsia="en-US"/>
        </w:rPr>
      </w:pPr>
      <w:r>
        <w:rPr>
          <w:rFonts w:hint="eastAsia"/>
          <w:color w:val="auto"/>
          <w:lang w:eastAsia="en-US"/>
        </w:rPr>
        <w:t>透水铺装是典型的通过降低不透水面积比例而对径流进行调控的LID措施，能使暴雨径流在很短的时间内入渗至更深的土壤中。</w:t>
      </w:r>
    </w:p>
    <w:p>
      <w:pPr>
        <w:pStyle w:val="3"/>
        <w:bidi w:val="0"/>
        <w:rPr>
          <w:rFonts w:hint="eastAsia"/>
          <w:color w:val="auto"/>
          <w:lang w:eastAsia="en-US"/>
        </w:rPr>
      </w:pPr>
      <w:r>
        <w:rPr>
          <w:rFonts w:hint="eastAsia"/>
          <w:color w:val="auto"/>
          <w:lang w:eastAsia="en-US"/>
        </w:rPr>
        <w:t>LID设施工艺构造</w:t>
      </w:r>
    </w:p>
    <w:p>
      <w:pPr>
        <w:bidi w:val="0"/>
        <w:rPr>
          <w:rFonts w:hint="eastAsia"/>
          <w:color w:val="auto"/>
          <w:lang w:eastAsia="en-US"/>
        </w:rPr>
      </w:pPr>
      <w:r>
        <w:rPr>
          <w:rFonts w:hint="eastAsia"/>
          <w:color w:val="auto"/>
          <w:lang w:eastAsia="en-US"/>
        </w:rPr>
        <w:t>1、本工程LID设施采用透水生态停车位（植草砖）、人行道透水面砖、雨水收集利用系统，以及海绵城市配套设施，如路缘石开口、缓冲碎石带、溢流雨水井等。</w:t>
      </w:r>
    </w:p>
    <w:p>
      <w:pPr>
        <w:bidi w:val="0"/>
        <w:rPr>
          <w:rFonts w:hint="eastAsia"/>
          <w:color w:val="auto"/>
          <w:lang w:eastAsia="en-US"/>
        </w:rPr>
      </w:pPr>
      <w:r>
        <w:rPr>
          <w:rFonts w:hint="eastAsia"/>
          <w:color w:val="auto"/>
          <w:lang w:eastAsia="en-US"/>
        </w:rPr>
        <w:t>2、透水铺砖</w:t>
      </w:r>
    </w:p>
    <w:p>
      <w:pPr>
        <w:bidi w:val="0"/>
        <w:rPr>
          <w:rFonts w:hint="eastAsia"/>
          <w:color w:val="auto"/>
          <w:lang w:eastAsia="en-US"/>
        </w:rPr>
      </w:pPr>
      <w:r>
        <w:rPr>
          <w:rFonts w:hint="eastAsia"/>
          <w:color w:val="auto"/>
          <w:lang w:eastAsia="en-US"/>
        </w:rPr>
        <w:t>景区主要广场铺装采用有效孔隙率不小于10%的透水彩色混凝土，与周围景色相得益彰；停车场采用有效孔隙率不小于8%的透水砖铺装。</w:t>
      </w:r>
    </w:p>
    <w:p>
      <w:pPr>
        <w:pStyle w:val="3"/>
        <w:bidi w:val="0"/>
        <w:rPr>
          <w:rFonts w:hint="eastAsia"/>
          <w:color w:val="auto"/>
          <w:lang w:eastAsia="en-US"/>
        </w:rPr>
      </w:pPr>
      <w:r>
        <w:rPr>
          <w:rFonts w:hint="eastAsia"/>
          <w:color w:val="auto"/>
          <w:lang w:eastAsia="en-US"/>
        </w:rPr>
        <w:t>维护管理</w:t>
      </w:r>
    </w:p>
    <w:p>
      <w:pPr>
        <w:bidi w:val="0"/>
        <w:rPr>
          <w:rFonts w:hint="eastAsia"/>
          <w:color w:val="auto"/>
          <w:lang w:eastAsia="en-US"/>
        </w:rPr>
      </w:pPr>
      <w:r>
        <w:rPr>
          <w:rFonts w:hint="eastAsia"/>
          <w:color w:val="auto"/>
          <w:lang w:eastAsia="en-US"/>
        </w:rPr>
        <w:t>1、基本要求</w:t>
      </w:r>
    </w:p>
    <w:p>
      <w:pPr>
        <w:bidi w:val="0"/>
        <w:rPr>
          <w:rFonts w:hint="eastAsia"/>
          <w:color w:val="auto"/>
          <w:lang w:eastAsia="en-US"/>
        </w:rPr>
      </w:pPr>
      <w:r>
        <w:rPr>
          <w:rFonts w:hint="eastAsia"/>
          <w:color w:val="auto"/>
          <w:lang w:eastAsia="en-US"/>
        </w:rPr>
        <w:t>公共项目的低影响开发设施由城市道路、排水、园林等相关部门按职责分工负责维护监管，其他低影响开发雨水设施，由设施的所有者或其委托方负责维护管理。应建立健全低影响开发设施的维护管理制度和操作规程，配备专职管理人员和相应的监测手段，并对管理人员和操作人员加强专业技术培训。</w:t>
      </w:r>
    </w:p>
    <w:p>
      <w:pPr>
        <w:bidi w:val="0"/>
        <w:rPr>
          <w:rFonts w:hint="eastAsia"/>
          <w:color w:val="auto"/>
          <w:lang w:eastAsia="en-US"/>
        </w:rPr>
      </w:pPr>
      <w:r>
        <w:rPr>
          <w:rFonts w:hint="eastAsia"/>
          <w:color w:val="auto"/>
          <w:lang w:eastAsia="en-US"/>
        </w:rPr>
        <w:t>2、设施维护</w:t>
      </w:r>
    </w:p>
    <w:p>
      <w:pPr>
        <w:bidi w:val="0"/>
        <w:rPr>
          <w:rFonts w:hint="eastAsia"/>
          <w:color w:val="auto"/>
          <w:lang w:eastAsia="en-US"/>
        </w:rPr>
      </w:pPr>
      <w:r>
        <w:rPr>
          <w:rFonts w:hint="eastAsia"/>
          <w:color w:val="auto"/>
          <w:lang w:eastAsia="en-US"/>
        </w:rPr>
        <w:t>不同的设施应采取适宜的方法、技术进行维护，维护建议按下表执行。</w:t>
      </w:r>
    </w:p>
    <w:tbl>
      <w:tblPr>
        <w:tblStyle w:val="18"/>
        <w:tblW w:w="500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50"/>
        <w:gridCol w:w="2190"/>
        <w:gridCol w:w="53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757" w:type="pct"/>
            <w:vAlign w:val="center"/>
          </w:tcPr>
          <w:p>
            <w:pPr>
              <w:pStyle w:val="17"/>
              <w:bidi w:val="0"/>
              <w:jc w:val="center"/>
              <w:rPr>
                <w:color w:val="auto"/>
                <w:lang w:val="en-US" w:eastAsia="en-US"/>
              </w:rPr>
            </w:pPr>
            <w:r>
              <w:rPr>
                <w:color w:val="auto"/>
                <w:lang w:val="en-US" w:eastAsia="en-US"/>
              </w:rPr>
              <w:t>设施</w:t>
            </w:r>
          </w:p>
        </w:tc>
        <w:tc>
          <w:tcPr>
            <w:tcW w:w="1228" w:type="pct"/>
            <w:vAlign w:val="center"/>
          </w:tcPr>
          <w:p>
            <w:pPr>
              <w:pStyle w:val="17"/>
              <w:bidi w:val="0"/>
              <w:jc w:val="center"/>
              <w:rPr>
                <w:color w:val="auto"/>
                <w:lang w:val="en-US" w:eastAsia="en-US"/>
              </w:rPr>
            </w:pPr>
            <w:r>
              <w:rPr>
                <w:color w:val="auto"/>
                <w:lang w:val="en-US" w:eastAsia="en-US"/>
              </w:rPr>
              <w:t>维护频次</w:t>
            </w:r>
          </w:p>
        </w:tc>
        <w:tc>
          <w:tcPr>
            <w:tcW w:w="3013" w:type="pct"/>
            <w:vAlign w:val="center"/>
          </w:tcPr>
          <w:p>
            <w:pPr>
              <w:pStyle w:val="17"/>
              <w:bidi w:val="0"/>
              <w:jc w:val="center"/>
              <w:rPr>
                <w:color w:val="auto"/>
                <w:lang w:val="en-US" w:eastAsia="en-US"/>
              </w:rPr>
            </w:pPr>
            <w:r>
              <w:rPr>
                <w:color w:val="auto"/>
                <w:lang w:val="en-US" w:eastAsia="en-US"/>
              </w:rPr>
              <w:t>措施及注意事项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757" w:type="pct"/>
            <w:vAlign w:val="center"/>
          </w:tcPr>
          <w:p>
            <w:pPr>
              <w:pStyle w:val="17"/>
              <w:bidi w:val="0"/>
              <w:jc w:val="center"/>
              <w:rPr>
                <w:color w:val="auto"/>
                <w:lang w:val="en-US" w:eastAsia="en-US"/>
              </w:rPr>
            </w:pPr>
            <w:r>
              <w:rPr>
                <w:color w:val="auto"/>
                <w:lang w:val="en-US" w:eastAsia="en-US"/>
              </w:rPr>
              <w:t>透水铺装</w:t>
            </w:r>
          </w:p>
        </w:tc>
        <w:tc>
          <w:tcPr>
            <w:tcW w:w="1228" w:type="pct"/>
            <w:vAlign w:val="center"/>
          </w:tcPr>
          <w:p>
            <w:pPr>
              <w:pStyle w:val="17"/>
              <w:bidi w:val="0"/>
              <w:jc w:val="center"/>
              <w:rPr>
                <w:color w:val="auto"/>
                <w:lang w:val="en-US" w:eastAsia="en-US"/>
              </w:rPr>
            </w:pPr>
            <w:r>
              <w:rPr>
                <w:color w:val="auto"/>
                <w:lang w:val="en-US" w:eastAsia="en-US"/>
              </w:rPr>
              <w:t>检修、疏通透水能力2次/年（雨季之前和</w:t>
            </w:r>
          </w:p>
          <w:p>
            <w:pPr>
              <w:pStyle w:val="17"/>
              <w:bidi w:val="0"/>
              <w:jc w:val="center"/>
              <w:rPr>
                <w:color w:val="auto"/>
                <w:lang w:val="en-US" w:eastAsia="en-US"/>
              </w:rPr>
            </w:pPr>
            <w:r>
              <w:rPr>
                <w:color w:val="auto"/>
                <w:lang w:val="en-US" w:eastAsia="en-US"/>
              </w:rPr>
              <w:t>期中）</w:t>
            </w:r>
          </w:p>
        </w:tc>
        <w:tc>
          <w:tcPr>
            <w:tcW w:w="3013" w:type="pct"/>
            <w:vAlign w:val="center"/>
          </w:tcPr>
          <w:p>
            <w:pPr>
              <w:pStyle w:val="17"/>
              <w:bidi w:val="0"/>
              <w:jc w:val="center"/>
              <w:rPr>
                <w:color w:val="auto"/>
                <w:lang w:val="en-US" w:eastAsia="en-US"/>
              </w:rPr>
            </w:pPr>
            <w:r>
              <w:rPr>
                <w:color w:val="auto"/>
                <w:lang w:val="en-US" w:eastAsia="en-US"/>
              </w:rPr>
              <w:t>a、面层出现破损时应及时进行修补或更换；b、出现不均匀沉降时应进行局部整修找平；c、渗透能力大幅下降时应采取冲洗、负压抽吸等方法及时进行清理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84" w:hRule="atLeast"/>
        </w:trPr>
        <w:tc>
          <w:tcPr>
            <w:tcW w:w="757" w:type="pct"/>
            <w:vAlign w:val="center"/>
          </w:tcPr>
          <w:p>
            <w:pPr>
              <w:pStyle w:val="17"/>
              <w:bidi w:val="0"/>
              <w:jc w:val="center"/>
              <w:rPr>
                <w:color w:val="auto"/>
                <w:lang w:val="en-US" w:eastAsia="en-US"/>
              </w:rPr>
            </w:pPr>
            <w:r>
              <w:rPr>
                <w:color w:val="auto"/>
                <w:lang w:val="en-US" w:eastAsia="en-US"/>
              </w:rPr>
              <w:t>下沉绿地</w:t>
            </w:r>
          </w:p>
        </w:tc>
        <w:tc>
          <w:tcPr>
            <w:tcW w:w="1228" w:type="pct"/>
            <w:vAlign w:val="center"/>
          </w:tcPr>
          <w:p>
            <w:pPr>
              <w:pStyle w:val="17"/>
              <w:bidi w:val="0"/>
              <w:jc w:val="center"/>
              <w:rPr>
                <w:color w:val="auto"/>
                <w:lang w:val="en-US" w:eastAsia="en-US"/>
              </w:rPr>
            </w:pPr>
            <w:r>
              <w:rPr>
                <w:color w:val="auto"/>
                <w:lang w:val="en-US" w:eastAsia="en-US"/>
              </w:rPr>
              <w:t>检修2次/年（雨季之前、期中），植物生长季节修剪1次/月</w:t>
            </w:r>
          </w:p>
        </w:tc>
        <w:tc>
          <w:tcPr>
            <w:tcW w:w="3013" w:type="pct"/>
            <w:vAlign w:val="center"/>
          </w:tcPr>
          <w:p>
            <w:pPr>
              <w:pStyle w:val="17"/>
              <w:bidi w:val="0"/>
              <w:jc w:val="center"/>
              <w:rPr>
                <w:color w:val="auto"/>
                <w:lang w:val="en-US" w:eastAsia="en-US"/>
              </w:rPr>
            </w:pPr>
            <w:r>
              <w:rPr>
                <w:color w:val="auto"/>
                <w:lang w:val="en-US" w:eastAsia="en-US"/>
              </w:rPr>
              <w:t>a、进水口、溢流口堵塞或淤积导致过水不畅时，应及时清理垃圾与沉积物；b、进水口不能有效收集径流雨水时应加大进水口或进行局部下沉；c、边坡出现坍塌时，应及时加固；d、不定期清理植物残体和其他垃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84" w:hRule="atLeast"/>
        </w:trPr>
        <w:tc>
          <w:tcPr>
            <w:tcW w:w="757" w:type="pct"/>
            <w:vAlign w:val="center"/>
          </w:tcPr>
          <w:p>
            <w:pPr>
              <w:pStyle w:val="17"/>
              <w:bidi w:val="0"/>
              <w:jc w:val="center"/>
              <w:rPr>
                <w:color w:val="auto"/>
                <w:lang w:val="en-US" w:eastAsia="en-US"/>
              </w:rPr>
            </w:pPr>
            <w:r>
              <w:rPr>
                <w:color w:val="auto"/>
                <w:lang w:val="en-US" w:eastAsia="en-US"/>
              </w:rPr>
              <w:t>植草沟</w:t>
            </w:r>
          </w:p>
        </w:tc>
        <w:tc>
          <w:tcPr>
            <w:tcW w:w="1228" w:type="pct"/>
            <w:vAlign w:val="center"/>
          </w:tcPr>
          <w:p>
            <w:pPr>
              <w:pStyle w:val="17"/>
              <w:bidi w:val="0"/>
              <w:jc w:val="center"/>
              <w:rPr>
                <w:color w:val="auto"/>
                <w:lang w:val="en-US" w:eastAsia="en-US"/>
              </w:rPr>
            </w:pPr>
            <w:r>
              <w:rPr>
                <w:color w:val="auto"/>
                <w:lang w:val="en-US" w:eastAsia="en-US"/>
              </w:rPr>
              <w:t>检修2次/年（雨季之前、期中），植物生长季节修剪1次/月</w:t>
            </w:r>
          </w:p>
        </w:tc>
        <w:tc>
          <w:tcPr>
            <w:tcW w:w="3013" w:type="pct"/>
            <w:vAlign w:val="center"/>
          </w:tcPr>
          <w:p>
            <w:pPr>
              <w:pStyle w:val="17"/>
              <w:bidi w:val="0"/>
              <w:jc w:val="center"/>
              <w:rPr>
                <w:color w:val="auto"/>
                <w:lang w:val="en-US" w:eastAsia="en-US"/>
              </w:rPr>
            </w:pPr>
            <w:r>
              <w:rPr>
                <w:color w:val="auto"/>
                <w:lang w:val="en-US" w:eastAsia="en-US"/>
              </w:rPr>
              <w:t>a、进水口不能有效收集径流雨水时应加大进水口或进行局部下沉；b、沟内沉积物淤积导致过水不畅时，应及时清理垃圾与沉积物；c、及时补种修剪植物、清除杂草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4" w:hRule="atLeast"/>
        </w:trPr>
        <w:tc>
          <w:tcPr>
            <w:tcW w:w="757" w:type="pct"/>
            <w:vAlign w:val="center"/>
          </w:tcPr>
          <w:p>
            <w:pPr>
              <w:pStyle w:val="17"/>
              <w:bidi w:val="0"/>
              <w:jc w:val="center"/>
              <w:rPr>
                <w:color w:val="auto"/>
                <w:lang w:val="en-US" w:eastAsia="en-US"/>
              </w:rPr>
            </w:pPr>
            <w:r>
              <w:rPr>
                <w:color w:val="auto"/>
                <w:lang w:val="en-US" w:eastAsia="en-US"/>
              </w:rPr>
              <w:t>雨水花园</w:t>
            </w:r>
          </w:p>
        </w:tc>
        <w:tc>
          <w:tcPr>
            <w:tcW w:w="1228" w:type="pct"/>
            <w:vAlign w:val="center"/>
          </w:tcPr>
          <w:p>
            <w:pPr>
              <w:pStyle w:val="17"/>
              <w:bidi w:val="0"/>
              <w:jc w:val="center"/>
              <w:rPr>
                <w:color w:val="auto"/>
                <w:lang w:val="en-US" w:eastAsia="en-US"/>
              </w:rPr>
            </w:pPr>
            <w:r>
              <w:rPr>
                <w:color w:val="auto"/>
                <w:lang w:val="en-US" w:eastAsia="en-US"/>
              </w:rPr>
              <w:t>检修2次/年（雨季之前、期中）</w:t>
            </w:r>
          </w:p>
        </w:tc>
        <w:tc>
          <w:tcPr>
            <w:tcW w:w="3013" w:type="pct"/>
            <w:vAlign w:val="center"/>
          </w:tcPr>
          <w:p>
            <w:pPr>
              <w:pStyle w:val="17"/>
              <w:bidi w:val="0"/>
              <w:jc w:val="center"/>
              <w:rPr>
                <w:color w:val="auto"/>
                <w:lang w:val="en-US" w:eastAsia="en-US"/>
              </w:rPr>
            </w:pPr>
            <w:r>
              <w:rPr>
                <w:color w:val="auto"/>
                <w:lang w:val="en-US" w:eastAsia="en-US"/>
              </w:rPr>
              <w:t>a、进水口、溢流口堵塞或淤积导致过水不畅时，应及时清理垃圾与沉积物；b、进水口不能有效收集径流雨水时应加大进水口或进行局部下沉；c、边坡出现坍塌时，应及时加固；d、不定期的清理植物残体和其他垃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89" w:hRule="atLeast"/>
        </w:trPr>
        <w:tc>
          <w:tcPr>
            <w:tcW w:w="757" w:type="pct"/>
            <w:vAlign w:val="center"/>
          </w:tcPr>
          <w:p>
            <w:pPr>
              <w:pStyle w:val="17"/>
              <w:bidi w:val="0"/>
              <w:jc w:val="center"/>
              <w:rPr>
                <w:color w:val="auto"/>
                <w:lang w:val="en-US" w:eastAsia="en-US"/>
              </w:rPr>
            </w:pPr>
            <w:r>
              <w:rPr>
                <w:color w:val="auto"/>
                <w:lang w:val="en-US" w:eastAsia="en-US"/>
              </w:rPr>
              <w:t>蓄水池</w:t>
            </w:r>
          </w:p>
        </w:tc>
        <w:tc>
          <w:tcPr>
            <w:tcW w:w="1228" w:type="pct"/>
            <w:vAlign w:val="center"/>
          </w:tcPr>
          <w:p>
            <w:pPr>
              <w:pStyle w:val="17"/>
              <w:bidi w:val="0"/>
              <w:jc w:val="center"/>
              <w:rPr>
                <w:color w:val="auto"/>
                <w:lang w:val="en-US" w:eastAsia="en-US"/>
              </w:rPr>
            </w:pPr>
            <w:r>
              <w:rPr>
                <w:color w:val="auto"/>
                <w:lang w:val="en-US" w:eastAsia="en-US"/>
              </w:rPr>
              <w:t>检修、淤泥清理2次/年（雨季之前、期中）</w:t>
            </w:r>
          </w:p>
        </w:tc>
        <w:tc>
          <w:tcPr>
            <w:tcW w:w="3013" w:type="pct"/>
            <w:vAlign w:val="center"/>
          </w:tcPr>
          <w:p>
            <w:pPr>
              <w:pStyle w:val="17"/>
              <w:bidi w:val="0"/>
              <w:jc w:val="center"/>
              <w:rPr>
                <w:color w:val="auto"/>
                <w:lang w:val="en-US" w:eastAsia="en-US"/>
              </w:rPr>
            </w:pPr>
            <w:r>
              <w:rPr>
                <w:color w:val="auto"/>
                <w:lang w:val="en-US" w:eastAsia="en-US"/>
              </w:rPr>
              <w:t>a、定期检查泵、阀门等相关设备，保证其能正常工作；b、防误接、误用、误饮等警示标识、护栏等安全防护设施及预警系统损坏或缺失时，应及时进行修复完善；c、进出水不畅时应及时清理垃圾与沉积物</w:t>
            </w:r>
          </w:p>
        </w:tc>
      </w:tr>
    </w:tbl>
    <w:p>
      <w:pPr>
        <w:bidi w:val="0"/>
        <w:rPr>
          <w:rFonts w:hint="eastAsia"/>
          <w:color w:val="auto"/>
          <w:lang w:eastAsia="en-US"/>
        </w:rPr>
      </w:pPr>
    </w:p>
    <w:p>
      <w:pPr>
        <w:pStyle w:val="2"/>
        <w:bidi w:val="0"/>
        <w:rPr>
          <w:rFonts w:hint="default"/>
          <w:color w:val="auto"/>
          <w:lang w:val="en-US" w:eastAsia="zh-CN"/>
        </w:rPr>
      </w:pPr>
      <w:r>
        <w:rPr>
          <w:rFonts w:hint="default"/>
          <w:color w:val="auto"/>
          <w:lang w:val="en-US" w:eastAsia="zh-CN"/>
        </w:rPr>
        <w:br w:type="column"/>
      </w:r>
      <w:r>
        <w:rPr>
          <w:rFonts w:hint="default"/>
          <w:color w:val="auto"/>
          <w:lang w:val="en-US" w:eastAsia="zh-CN"/>
        </w:rPr>
        <w:t>建筑垃圾源头减量专篇</w:t>
      </w:r>
    </w:p>
    <w:p>
      <w:pPr>
        <w:pStyle w:val="3"/>
        <w:bidi w:val="0"/>
        <w:rPr>
          <w:rFonts w:hint="default"/>
          <w:color w:val="auto"/>
          <w:lang w:val="en-US" w:eastAsia="zh-CN"/>
        </w:rPr>
      </w:pPr>
      <w:r>
        <w:rPr>
          <w:rFonts w:hint="default"/>
          <w:color w:val="auto"/>
          <w:lang w:val="en-US" w:eastAsia="zh-CN"/>
        </w:rPr>
        <w:t>主要依据</w:t>
      </w:r>
    </w:p>
    <w:p>
      <w:pPr>
        <w:bidi w:val="0"/>
        <w:rPr>
          <w:rFonts w:hint="default"/>
          <w:color w:val="auto"/>
          <w:lang w:val="en-US" w:eastAsia="zh-CN"/>
        </w:rPr>
      </w:pPr>
      <w:r>
        <w:rPr>
          <w:rFonts w:hint="default"/>
          <w:color w:val="auto"/>
          <w:lang w:val="en-US" w:eastAsia="zh-CN"/>
        </w:rPr>
        <w:t>《湖南省人民政府办公厅关于加强城市建筑垃圾管理促进资源化利用的意见》（湘政办发〔2019〕4号）</w:t>
      </w:r>
    </w:p>
    <w:p>
      <w:pPr>
        <w:bidi w:val="0"/>
        <w:rPr>
          <w:rFonts w:hint="default"/>
          <w:color w:val="auto"/>
          <w:lang w:val="en-US" w:eastAsia="zh-CN"/>
        </w:rPr>
      </w:pPr>
      <w:r>
        <w:rPr>
          <w:rFonts w:hint="default"/>
          <w:color w:val="auto"/>
          <w:lang w:val="en-US" w:eastAsia="zh-CN"/>
        </w:rPr>
        <w:t>《住房和城乡建设部关于推进建筑垃圾减量化的指导意见》（建质〔2020〕46号）</w:t>
      </w:r>
    </w:p>
    <w:p>
      <w:pPr>
        <w:bidi w:val="0"/>
        <w:rPr>
          <w:rFonts w:hint="default"/>
          <w:color w:val="auto"/>
          <w:spacing w:val="-20"/>
          <w:lang w:val="en-US" w:eastAsia="zh-CN"/>
        </w:rPr>
      </w:pPr>
      <w:r>
        <w:rPr>
          <w:rFonts w:hint="default"/>
          <w:color w:val="auto"/>
          <w:spacing w:val="-20"/>
          <w:lang w:val="en-US" w:eastAsia="zh-CN"/>
        </w:rPr>
        <w:t>《湖南省城市建筑垃圾管理实施细则（暂行）》（湘建建[2020]14号）</w:t>
      </w:r>
    </w:p>
    <w:p>
      <w:pPr>
        <w:bidi w:val="0"/>
        <w:rPr>
          <w:rFonts w:hint="default"/>
          <w:color w:val="auto"/>
          <w:lang w:val="en-US" w:eastAsia="zh-CN"/>
        </w:rPr>
      </w:pPr>
      <w:r>
        <w:rPr>
          <w:rFonts w:hint="default"/>
          <w:color w:val="auto"/>
          <w:lang w:val="en-US" w:eastAsia="zh-CN"/>
        </w:rPr>
        <w:t>《湖南省建筑垃圾资源化利用发展规划（2020-2030》（湘建建[2020]52号）</w:t>
      </w:r>
    </w:p>
    <w:p>
      <w:pPr>
        <w:bidi w:val="0"/>
        <w:rPr>
          <w:rFonts w:hint="default"/>
          <w:color w:val="auto"/>
          <w:lang w:val="en-US" w:eastAsia="zh-CN"/>
        </w:rPr>
      </w:pPr>
      <w:r>
        <w:rPr>
          <w:rFonts w:hint="default"/>
          <w:color w:val="auto"/>
          <w:lang w:val="en-US" w:eastAsia="zh-CN"/>
        </w:rPr>
        <w:t>《湖南省建筑垃圾源头减量实施方案》（湘建建函[2020]145号）</w:t>
      </w:r>
    </w:p>
    <w:p>
      <w:pPr>
        <w:bidi w:val="0"/>
        <w:rPr>
          <w:rFonts w:hint="default"/>
          <w:color w:val="auto"/>
          <w:lang w:val="en-US" w:eastAsia="zh-CN"/>
        </w:rPr>
      </w:pPr>
      <w:r>
        <w:rPr>
          <w:rFonts w:hint="default"/>
          <w:color w:val="auto"/>
          <w:lang w:val="en-US" w:eastAsia="zh-CN"/>
        </w:rPr>
        <w:t>《关于印发施工现场建筑垃圾减量化指导手册（试行）的通知》（建办质[2020]20号）</w:t>
      </w:r>
    </w:p>
    <w:p>
      <w:pPr>
        <w:bidi w:val="0"/>
        <w:rPr>
          <w:rFonts w:hint="default"/>
          <w:color w:val="auto"/>
          <w:lang w:val="en-US" w:eastAsia="zh-CN"/>
        </w:rPr>
      </w:pPr>
      <w:r>
        <w:rPr>
          <w:rFonts w:hint="default"/>
          <w:color w:val="auto"/>
          <w:lang w:val="en-US" w:eastAsia="zh-CN"/>
        </w:rPr>
        <w:t>《湖南省建筑垃圾源头控制及处理技术标准》DB43/T516-2020</w:t>
      </w:r>
    </w:p>
    <w:p>
      <w:pPr>
        <w:bidi w:val="0"/>
        <w:rPr>
          <w:rFonts w:hint="default"/>
          <w:color w:val="auto"/>
          <w:lang w:val="en-US" w:eastAsia="zh-CN"/>
        </w:rPr>
      </w:pPr>
      <w:r>
        <w:rPr>
          <w:rFonts w:hint="default"/>
          <w:color w:val="auto"/>
          <w:lang w:val="en-US" w:eastAsia="zh-CN"/>
        </w:rPr>
        <w:t>住房城乡建设部《建筑工程设计文件编制深度规定》（2016版）</w:t>
      </w:r>
    </w:p>
    <w:p>
      <w:pPr>
        <w:bidi w:val="0"/>
        <w:rPr>
          <w:rFonts w:hint="default"/>
          <w:color w:val="auto"/>
          <w:spacing w:val="-20"/>
          <w:lang w:val="en-US" w:eastAsia="zh-CN"/>
        </w:rPr>
      </w:pPr>
      <w:r>
        <w:rPr>
          <w:rFonts w:hint="default"/>
          <w:color w:val="auto"/>
          <w:spacing w:val="-20"/>
          <w:lang w:val="en-US" w:eastAsia="zh-CN"/>
        </w:rPr>
        <w:t>住房城乡建设部《建筑工程施工图设计文件技术审查要点》（2013版）</w:t>
      </w:r>
    </w:p>
    <w:p>
      <w:pPr>
        <w:bidi w:val="0"/>
        <w:rPr>
          <w:rFonts w:hint="default"/>
          <w:color w:val="auto"/>
          <w:lang w:val="en-US" w:eastAsia="zh-CN"/>
        </w:rPr>
      </w:pPr>
      <w:r>
        <w:rPr>
          <w:rFonts w:hint="default"/>
          <w:color w:val="auto"/>
          <w:lang w:val="en-US" w:eastAsia="zh-CN"/>
        </w:rPr>
        <w:t>省住房城乡建设厅《湖南省房屋建筑工程施工图设计文件编制技术规定（试行）》（2018版）</w:t>
      </w:r>
    </w:p>
    <w:p>
      <w:pPr>
        <w:bidi w:val="0"/>
        <w:rPr>
          <w:rFonts w:hint="default"/>
          <w:color w:val="auto"/>
          <w:lang w:val="en-US" w:eastAsia="zh-CN"/>
        </w:rPr>
      </w:pPr>
      <w:r>
        <w:rPr>
          <w:rFonts w:hint="default"/>
          <w:color w:val="auto"/>
          <w:lang w:val="en-US" w:eastAsia="zh-CN"/>
        </w:rPr>
        <w:t>省住房城乡建设厅《湖南省房屋建筑工程施工图设计文件技术审查要点（试行）》（2018版）</w:t>
      </w:r>
    </w:p>
    <w:p>
      <w:pPr>
        <w:pStyle w:val="3"/>
        <w:bidi w:val="0"/>
        <w:rPr>
          <w:rFonts w:hint="default"/>
          <w:color w:val="auto"/>
          <w:lang w:val="en-US" w:eastAsia="zh-CN"/>
        </w:rPr>
      </w:pPr>
      <w:r>
        <w:rPr>
          <w:rFonts w:hint="default"/>
          <w:color w:val="auto"/>
          <w:lang w:val="en-US" w:eastAsia="zh-CN"/>
        </w:rPr>
        <w:t>建筑专业</w:t>
      </w:r>
    </w:p>
    <w:p>
      <w:pPr>
        <w:bidi w:val="0"/>
        <w:rPr>
          <w:rFonts w:hint="default"/>
          <w:color w:val="auto"/>
          <w:lang w:val="en-US" w:eastAsia="zh-CN"/>
        </w:rPr>
      </w:pPr>
      <w:r>
        <w:rPr>
          <w:rFonts w:hint="default"/>
          <w:color w:val="auto"/>
          <w:lang w:val="en-US" w:eastAsia="zh-CN"/>
        </w:rPr>
        <w:t>15.2.1总平面设计</w:t>
      </w:r>
    </w:p>
    <w:p>
      <w:pPr>
        <w:bidi w:val="0"/>
        <w:rPr>
          <w:rFonts w:hint="default"/>
          <w:color w:val="auto"/>
          <w:lang w:val="en-US" w:eastAsia="zh-CN"/>
        </w:rPr>
      </w:pPr>
      <w:r>
        <w:rPr>
          <w:rFonts w:hint="default"/>
          <w:color w:val="auto"/>
          <w:lang w:val="en-US" w:eastAsia="zh-CN"/>
        </w:rPr>
        <w:t>场地</w:t>
      </w:r>
      <w:r>
        <w:rPr>
          <w:rFonts w:hint="eastAsia"/>
          <w:color w:val="auto"/>
          <w:lang w:val="en-US" w:eastAsia="zh-CN"/>
        </w:rPr>
        <w:t>整体平整</w:t>
      </w:r>
      <w:r>
        <w:rPr>
          <w:rFonts w:hint="default"/>
          <w:color w:val="auto"/>
          <w:lang w:val="en-US" w:eastAsia="zh-CN"/>
        </w:rPr>
        <w:t>，竖向设计考虑了土方开挖和回填量，各单体正负零标高结合原始地貌进行合理分区设置，降低了土方工程平衡量，总平面竖向设计较为合理，满足条件。</w:t>
      </w:r>
    </w:p>
    <w:p>
      <w:pPr>
        <w:pStyle w:val="4"/>
        <w:bidi w:val="0"/>
        <w:rPr>
          <w:rFonts w:hint="default"/>
          <w:color w:val="auto"/>
          <w:lang w:val="en-US" w:eastAsia="zh-CN"/>
        </w:rPr>
      </w:pPr>
      <w:r>
        <w:rPr>
          <w:rFonts w:hint="default"/>
          <w:color w:val="auto"/>
          <w:lang w:val="en-US" w:eastAsia="zh-CN"/>
        </w:rPr>
        <w:t>建筑单体设计</w:t>
      </w:r>
    </w:p>
    <w:p>
      <w:pPr>
        <w:bidi w:val="0"/>
        <w:rPr>
          <w:rFonts w:hint="default"/>
          <w:color w:val="auto"/>
          <w:lang w:val="en-US" w:eastAsia="zh-CN"/>
        </w:rPr>
      </w:pPr>
      <w:r>
        <w:rPr>
          <w:rFonts w:hint="default"/>
          <w:color w:val="auto"/>
          <w:lang w:val="en-US" w:eastAsia="zh-CN"/>
        </w:rPr>
        <w:t>1.本项目未采用国家和地方禁止和限制使用的建筑材料及制品。</w:t>
      </w:r>
    </w:p>
    <w:p>
      <w:pPr>
        <w:bidi w:val="0"/>
        <w:rPr>
          <w:rFonts w:hint="default"/>
          <w:color w:val="auto"/>
          <w:lang w:val="en-US" w:eastAsia="zh-CN"/>
        </w:rPr>
      </w:pPr>
      <w:r>
        <w:rPr>
          <w:rFonts w:hint="default"/>
          <w:color w:val="auto"/>
          <w:lang w:val="en-US" w:eastAsia="zh-CN"/>
        </w:rPr>
        <w:t>2.本工程建筑材料70%以上采用施工现场500km以内生产的建筑材料</w:t>
      </w:r>
      <w:r>
        <w:rPr>
          <w:rFonts w:hint="eastAsia"/>
          <w:color w:val="auto"/>
          <w:lang w:val="en-US" w:eastAsia="zh-CN"/>
        </w:rPr>
        <w:t>。</w:t>
      </w:r>
    </w:p>
    <w:p>
      <w:pPr>
        <w:bidi w:val="0"/>
        <w:rPr>
          <w:rFonts w:hint="default"/>
          <w:color w:val="auto"/>
          <w:lang w:val="en-US" w:eastAsia="zh-CN"/>
        </w:rPr>
      </w:pPr>
      <w:r>
        <w:rPr>
          <w:rFonts w:hint="default"/>
          <w:color w:val="auto"/>
          <w:lang w:val="en-US" w:eastAsia="zh-CN"/>
        </w:rPr>
        <w:t>3.选购取得绿色建材产品标识的建筑材料，其使用比例不低于60%。外饰面装修材料、防水和密封材料、室内装饰装修材料、门窗部品部件等提出耐久性指标要求。外墙涂料经1000h人工老化、湿热和盐雾试验后不起泡、不剥落、无裂纹、粉化≤1级，变色≤2级。硅酮结构密封胶通过相容性试验、水-紫外线光照后拉伸粘结强度≥0.45MPa，热老化后失重≤10%，无龟裂粉化。金属幕墙板经4000h人工老化、湿热和盐雾试验后不起泡、不剥落、无裂纹，光泽保持率≥70%，粉化不次于0级，△E≤3。石材冻融循环50次。内墙涂料耐洗刷5000次。厨卫金属吊顶经1000h湿热试验后不起泡、不剥落、无裂纹，无明显变色（适用于住宅）。实木（复合）地板耐磨性≤0.08且漆膜未磨透。强化木地板公共建筑≥9000转居住建筑≥6000转。竹地板任一胶层的累计剥离长度不低于25mm；耐磨性不低于100转且磨耗值不大于0.08g。陶瓷砖破坏强度≥400N，耐污性2级。</w:t>
      </w:r>
    </w:p>
    <w:p>
      <w:pPr>
        <w:bidi w:val="0"/>
        <w:rPr>
          <w:rFonts w:hint="default"/>
          <w:color w:val="auto"/>
          <w:lang w:val="en-US" w:eastAsia="zh-CN"/>
        </w:rPr>
      </w:pPr>
      <w:r>
        <w:rPr>
          <w:rFonts w:hint="default"/>
          <w:color w:val="auto"/>
          <w:lang w:val="en-US" w:eastAsia="zh-CN"/>
        </w:rPr>
        <w:t>4.本工程采用的可再利用材料和可再循环材料重量占建筑材料总重量的比例达6%以上。</w:t>
      </w:r>
    </w:p>
    <w:p>
      <w:pPr>
        <w:bidi w:val="0"/>
        <w:rPr>
          <w:rFonts w:hint="default"/>
          <w:color w:val="auto"/>
          <w:lang w:val="en-US" w:eastAsia="zh-CN"/>
        </w:rPr>
      </w:pPr>
      <w:r>
        <w:rPr>
          <w:rFonts w:hint="default"/>
          <w:color w:val="auto"/>
          <w:lang w:val="en-US" w:eastAsia="zh-CN"/>
        </w:rPr>
        <w:t>5.外饰面装修材料、防水和密封材料、室内装饰装修材料、门窗部品部件等满足耐久性指标要求。</w:t>
      </w:r>
    </w:p>
    <w:p>
      <w:pPr>
        <w:bidi w:val="0"/>
        <w:rPr>
          <w:rFonts w:hint="default"/>
          <w:color w:val="auto"/>
          <w:lang w:val="en-US" w:eastAsia="zh-CN"/>
        </w:rPr>
      </w:pPr>
      <w:r>
        <w:rPr>
          <w:rFonts w:hint="default"/>
          <w:color w:val="auto"/>
          <w:lang w:val="en-US" w:eastAsia="zh-CN"/>
        </w:rPr>
        <w:t>6.建筑墙、楼地面易空鼓、开裂的部位分析及质量控制措施：对建筑墙、楼地面易空鼓、开裂的部位进行分析并提出质量控制措施。采用高耐久性混凝土（按现行行业标准《混凝土耐久性检验评定标准》JGJ/T193进行检测，抗硫酸盐侵蚀性能达到KS90级，抗氯离子渗透、抗碳化及早期抗裂性能均达到III级、不低于现行国家标准《混凝土结构耐久性设计规范》GB/T50476中50年设计寿命要求的混凝土）。</w:t>
      </w:r>
    </w:p>
    <w:p>
      <w:pPr>
        <w:pStyle w:val="4"/>
        <w:bidi w:val="0"/>
        <w:rPr>
          <w:rFonts w:hint="default"/>
          <w:color w:val="auto"/>
          <w:lang w:val="en-US" w:eastAsia="zh-CN"/>
        </w:rPr>
      </w:pPr>
      <w:r>
        <w:rPr>
          <w:rFonts w:hint="default"/>
          <w:color w:val="auto"/>
          <w:lang w:val="en-US" w:eastAsia="zh-CN"/>
        </w:rPr>
        <w:t>建筑立面设计</w:t>
      </w:r>
    </w:p>
    <w:p>
      <w:pPr>
        <w:bidi w:val="0"/>
        <w:rPr>
          <w:rFonts w:hint="default"/>
          <w:color w:val="auto"/>
          <w:lang w:val="en-US" w:eastAsia="zh-CN"/>
        </w:rPr>
      </w:pPr>
      <w:r>
        <w:rPr>
          <w:rFonts w:hint="default"/>
          <w:color w:val="auto"/>
          <w:lang w:val="en-US" w:eastAsia="zh-CN"/>
        </w:rPr>
        <w:t>本工程建筑造型要素简约，装饰性构件结合功能一体化设计，纯装饰性构件造价之和不高于建筑工程土建总造价的2%（居住建筑），和1%（公共建筑）。</w:t>
      </w:r>
    </w:p>
    <w:p>
      <w:pPr>
        <w:bidi w:val="0"/>
        <w:rPr>
          <w:rFonts w:hint="default"/>
          <w:color w:val="auto"/>
          <w:lang w:val="en-US" w:eastAsia="zh-CN"/>
        </w:rPr>
      </w:pPr>
      <w:r>
        <w:rPr>
          <w:rFonts w:hint="default"/>
          <w:color w:val="auto"/>
          <w:lang w:val="en-US" w:eastAsia="zh-CN"/>
        </w:rPr>
        <w:t>1.建筑施工图</w:t>
      </w:r>
    </w:p>
    <w:p>
      <w:pPr>
        <w:bidi w:val="0"/>
        <w:rPr>
          <w:rFonts w:hint="default"/>
          <w:color w:val="auto"/>
          <w:spacing w:val="-20"/>
          <w:lang w:val="en-US" w:eastAsia="zh-CN"/>
        </w:rPr>
      </w:pPr>
      <w:r>
        <w:rPr>
          <w:rFonts w:hint="default"/>
          <w:color w:val="auto"/>
          <w:spacing w:val="-20"/>
          <w:lang w:val="en-US" w:eastAsia="zh-CN"/>
        </w:rPr>
        <w:t>2.建筑平面图中明确标注了装饰装修和机电安装的预留预埋孔洞。</w:t>
      </w:r>
    </w:p>
    <w:p>
      <w:pPr>
        <w:bidi w:val="0"/>
        <w:rPr>
          <w:rFonts w:hint="default"/>
          <w:color w:val="auto"/>
          <w:lang w:val="en-US" w:eastAsia="zh-CN"/>
        </w:rPr>
      </w:pPr>
      <w:r>
        <w:rPr>
          <w:rFonts w:hint="default"/>
          <w:color w:val="auto"/>
          <w:lang w:val="en-US" w:eastAsia="zh-CN"/>
        </w:rPr>
        <w:t>3.尺寸均按"模数统一"的设计原则，减少了非标构件和异型构件。</w:t>
      </w:r>
    </w:p>
    <w:p>
      <w:pPr>
        <w:pStyle w:val="3"/>
        <w:bidi w:val="0"/>
        <w:rPr>
          <w:rFonts w:hint="default"/>
          <w:color w:val="auto"/>
          <w:lang w:val="en-US" w:eastAsia="zh-CN"/>
        </w:rPr>
      </w:pPr>
      <w:r>
        <w:rPr>
          <w:rFonts w:hint="default"/>
          <w:color w:val="auto"/>
          <w:lang w:val="en-US" w:eastAsia="zh-CN"/>
        </w:rPr>
        <w:t>结构专业</w:t>
      </w:r>
    </w:p>
    <w:p>
      <w:pPr>
        <w:bidi w:val="0"/>
        <w:rPr>
          <w:rFonts w:hint="default"/>
          <w:color w:val="auto"/>
          <w:lang w:val="en-US" w:eastAsia="zh-CN"/>
        </w:rPr>
      </w:pPr>
      <w:r>
        <w:rPr>
          <w:rFonts w:hint="default"/>
          <w:color w:val="auto"/>
          <w:lang w:val="en-US" w:eastAsia="zh-CN"/>
        </w:rPr>
        <w:t>1.本项目结构专业符合相关强制性条文及标准的要求。</w:t>
      </w:r>
    </w:p>
    <w:p>
      <w:pPr>
        <w:bidi w:val="0"/>
        <w:rPr>
          <w:rFonts w:hint="default"/>
          <w:color w:val="auto"/>
          <w:spacing w:val="-20"/>
          <w:lang w:val="en-US" w:eastAsia="zh-CN"/>
        </w:rPr>
      </w:pPr>
      <w:r>
        <w:rPr>
          <w:rFonts w:hint="default"/>
          <w:color w:val="auto"/>
          <w:spacing w:val="-20"/>
          <w:lang w:val="en-US" w:eastAsia="zh-CN"/>
        </w:rPr>
        <w:t>2.本项目地基基础结合实际地质情况优化基础埋深和桩基础深度。</w:t>
      </w:r>
    </w:p>
    <w:p>
      <w:pPr>
        <w:bidi w:val="0"/>
        <w:rPr>
          <w:rFonts w:hint="default"/>
          <w:color w:val="auto"/>
          <w:lang w:val="en-US" w:eastAsia="zh-CN"/>
        </w:rPr>
      </w:pPr>
      <w:r>
        <w:rPr>
          <w:rFonts w:hint="default"/>
          <w:color w:val="auto"/>
          <w:lang w:val="en-US" w:eastAsia="zh-CN"/>
        </w:rPr>
        <w:t>3.本项目上部结构不属于国家标准《建筑抗震设计规范》GB50011-2010（2016年版）第3.4节中规定的特别不规则和严重不规则的建筑形体。</w:t>
      </w:r>
    </w:p>
    <w:p>
      <w:pPr>
        <w:bidi w:val="0"/>
        <w:rPr>
          <w:rFonts w:hint="default"/>
          <w:color w:val="auto"/>
          <w:lang w:val="en-US" w:eastAsia="zh-CN"/>
        </w:rPr>
      </w:pPr>
      <w:r>
        <w:rPr>
          <w:rFonts w:hint="default"/>
          <w:color w:val="auto"/>
          <w:lang w:val="en-US" w:eastAsia="zh-CN"/>
        </w:rPr>
        <w:t>4.本项目梁、柱、墙纵向受力钢筋采用不低于400MPa级的热轧带肋钢筋,且400MPa级及以上的钢筋用量占钢筋总用量的85%以上。</w:t>
      </w:r>
    </w:p>
    <w:p>
      <w:pPr>
        <w:bidi w:val="0"/>
        <w:rPr>
          <w:rFonts w:hint="default"/>
          <w:color w:val="auto"/>
          <w:lang w:val="en-US" w:eastAsia="zh-CN"/>
        </w:rPr>
      </w:pPr>
      <w:r>
        <w:rPr>
          <w:rFonts w:hint="default"/>
          <w:color w:val="auto"/>
          <w:lang w:val="en-US" w:eastAsia="zh-CN"/>
        </w:rPr>
        <w:t>5.本项目现浇混凝土全部采用预拌混凝土，其应符合现行国家标准《预拌混凝土》GB/T14902的规定；砂浆全部采用预拌砂浆，应符合现行标准《预拌砂浆》GB/T25181及《预拌砂浆应用技术规程》JGJ/T223规定。</w:t>
      </w:r>
    </w:p>
    <w:p>
      <w:pPr>
        <w:pStyle w:val="3"/>
        <w:bidi w:val="0"/>
        <w:rPr>
          <w:rFonts w:hint="default"/>
          <w:color w:val="auto"/>
          <w:lang w:val="en-US" w:eastAsia="zh-CN"/>
        </w:rPr>
      </w:pPr>
      <w:r>
        <w:rPr>
          <w:rFonts w:hint="default"/>
          <w:color w:val="auto"/>
          <w:lang w:val="en-US" w:eastAsia="zh-CN"/>
        </w:rPr>
        <w:t>给排水专业</w:t>
      </w:r>
    </w:p>
    <w:p>
      <w:pPr>
        <w:bidi w:val="0"/>
        <w:rPr>
          <w:rFonts w:hint="default"/>
          <w:color w:val="auto"/>
          <w:lang w:val="en-US" w:eastAsia="zh-CN"/>
        </w:rPr>
      </w:pPr>
      <w:r>
        <w:rPr>
          <w:rFonts w:hint="default"/>
          <w:color w:val="auto"/>
          <w:lang w:val="en-US" w:eastAsia="zh-CN"/>
        </w:rPr>
        <w:t>1.本项目给排水专业符合相关强制性条文及标准的要求。</w:t>
      </w:r>
    </w:p>
    <w:p>
      <w:pPr>
        <w:bidi w:val="0"/>
        <w:rPr>
          <w:rFonts w:hint="default"/>
          <w:color w:val="auto"/>
          <w:lang w:val="en-US" w:eastAsia="zh-CN"/>
        </w:rPr>
      </w:pPr>
      <w:r>
        <w:rPr>
          <w:rFonts w:hint="default"/>
          <w:color w:val="auto"/>
          <w:lang w:val="en-US" w:eastAsia="zh-CN"/>
        </w:rPr>
        <w:t>2.所有给排水系统均采用耐腐蚀、抗老化、耐久性能好的管材、管件；所有阀门及附件公称压力不得小于所在处的管道公称压力，给水系统选用高性能、零泄漏阀门。活动配件选用长寿产品，水嘴寿命应达到相关产品标准1.2倍，阀门寿命应达到相关产品标准1.5倍。</w:t>
      </w:r>
    </w:p>
    <w:p>
      <w:pPr>
        <w:bidi w:val="0"/>
        <w:rPr>
          <w:rFonts w:hint="default"/>
          <w:color w:val="auto"/>
          <w:lang w:val="en-US" w:eastAsia="zh-CN"/>
        </w:rPr>
      </w:pPr>
      <w:r>
        <w:rPr>
          <w:rFonts w:hint="default"/>
          <w:color w:val="auto"/>
          <w:lang w:val="en-US" w:eastAsia="zh-CN"/>
        </w:rPr>
        <w:t>3.在施工安装前，施工总包应组织各专业进行管道综合排布，与其它专业承包商密切配合，预留孔洞。采用成品支吊架，节点结构连接构件优先预留预埋、机电装配式等措施。施工中应遵循压力管让重力管，小管让大管的原则，合理安排施工进度和设备、器材、管道的设置，避免碰撞和返工，减少建筑垃圾。</w:t>
      </w:r>
    </w:p>
    <w:p>
      <w:pPr>
        <w:pStyle w:val="3"/>
        <w:bidi w:val="0"/>
        <w:rPr>
          <w:rFonts w:hint="default"/>
          <w:color w:val="auto"/>
          <w:lang w:val="en-US" w:eastAsia="zh-CN"/>
        </w:rPr>
      </w:pPr>
      <w:r>
        <w:rPr>
          <w:rFonts w:hint="default"/>
          <w:color w:val="auto"/>
          <w:lang w:val="en-US" w:eastAsia="zh-CN"/>
        </w:rPr>
        <w:t>电气及其智能化专业</w:t>
      </w:r>
    </w:p>
    <w:p>
      <w:pPr>
        <w:bidi w:val="0"/>
        <w:rPr>
          <w:rFonts w:hint="default"/>
          <w:color w:val="auto"/>
          <w:lang w:val="en-US" w:eastAsia="zh-CN"/>
        </w:rPr>
      </w:pPr>
      <w:r>
        <w:rPr>
          <w:rFonts w:hint="default"/>
          <w:color w:val="auto"/>
          <w:lang w:val="en-US" w:eastAsia="zh-CN"/>
        </w:rPr>
        <w:t>1.本项目电气专业符合相关强制性条文及标准的要求。</w:t>
      </w:r>
    </w:p>
    <w:p>
      <w:pPr>
        <w:bidi w:val="0"/>
        <w:rPr>
          <w:rFonts w:hint="default"/>
          <w:color w:val="auto"/>
          <w:lang w:val="en-US" w:eastAsia="zh-CN"/>
        </w:rPr>
      </w:pPr>
      <w:r>
        <w:rPr>
          <w:rFonts w:hint="default"/>
          <w:color w:val="auto"/>
          <w:lang w:val="en-US" w:eastAsia="zh-CN"/>
        </w:rPr>
        <w:t>2.所有电缆桥架，电气管道均采用耐腐蚀、抗老化、耐久性能好的管材、管件；所有明敷的管道均要求刷防火涂料，管材的管壁厚度不小于3mm。</w:t>
      </w:r>
    </w:p>
    <w:p>
      <w:pPr>
        <w:bidi w:val="0"/>
        <w:rPr>
          <w:rFonts w:hint="default"/>
          <w:color w:val="auto"/>
          <w:lang w:val="en-US" w:eastAsia="zh-CN"/>
        </w:rPr>
      </w:pPr>
      <w:r>
        <w:rPr>
          <w:rFonts w:hint="default"/>
          <w:color w:val="auto"/>
          <w:lang w:val="en-US" w:eastAsia="zh-CN"/>
        </w:rPr>
        <w:t>3.在施工安装前，施工总包应组织各专业进行管道综合排布，与其它专业承包商密切配合，预留孔洞。采用成品支吊架，节点结构连接构件优先预留预埋、机电装配式等措施。施工中应遵循压力管让重力管，小管让大管的原则，合理安排施工进度和设备、器材、管道的设置，避免碰撞和返工，减少建筑垃圾。</w:t>
      </w:r>
    </w:p>
    <w:p>
      <w:pPr>
        <w:pStyle w:val="2"/>
        <w:bidi w:val="0"/>
        <w:rPr>
          <w:rFonts w:hint="default"/>
          <w:color w:val="auto"/>
          <w:lang w:val="en-US" w:eastAsia="zh-CN"/>
        </w:rPr>
      </w:pPr>
      <w:r>
        <w:rPr>
          <w:rFonts w:hint="default"/>
          <w:color w:val="auto"/>
          <w:lang w:val="en-US" w:eastAsia="zh-CN"/>
        </w:rPr>
        <w:br w:type="column"/>
      </w:r>
      <w:r>
        <w:rPr>
          <w:rFonts w:hint="default"/>
          <w:color w:val="auto"/>
          <w:lang w:val="en-US" w:eastAsia="zh-CN"/>
        </w:rPr>
        <w:t>应急救援专篇</w:t>
      </w:r>
    </w:p>
    <w:p>
      <w:pPr>
        <w:pStyle w:val="3"/>
        <w:bidi w:val="0"/>
        <w:rPr>
          <w:rFonts w:hint="default"/>
          <w:color w:val="auto"/>
          <w:lang w:val="en-US" w:eastAsia="zh-CN"/>
        </w:rPr>
      </w:pPr>
      <w:r>
        <w:rPr>
          <w:rFonts w:hint="default"/>
          <w:color w:val="auto"/>
          <w:lang w:val="en-US" w:eastAsia="zh-CN"/>
        </w:rPr>
        <w:t>应急预案原则与方针</w:t>
      </w:r>
    </w:p>
    <w:p>
      <w:pPr>
        <w:bidi w:val="0"/>
        <w:rPr>
          <w:rFonts w:hint="default"/>
          <w:color w:val="auto"/>
          <w:lang w:val="en-US" w:eastAsia="zh-CN"/>
        </w:rPr>
      </w:pPr>
      <w:r>
        <w:rPr>
          <w:rFonts w:hint="default"/>
          <w:color w:val="auto"/>
          <w:lang w:val="en-US" w:eastAsia="zh-CN"/>
        </w:rPr>
        <w:t>1、本着“安全第一，预防为主、综合治理”的原则，保证施工人员的生命安全和物资库运行及周边安全，圆满完成各项工作目标。</w:t>
      </w:r>
    </w:p>
    <w:p>
      <w:pPr>
        <w:bidi w:val="0"/>
        <w:rPr>
          <w:rFonts w:hint="default"/>
          <w:color w:val="auto"/>
          <w:lang w:val="en-US" w:eastAsia="zh-CN"/>
        </w:rPr>
      </w:pPr>
      <w:r>
        <w:rPr>
          <w:rFonts w:hint="default"/>
          <w:color w:val="auto"/>
          <w:lang w:val="en-US" w:eastAsia="zh-CN"/>
        </w:rPr>
        <w:t>2、采取以人为本，自救为主、统一指挥、分工负责、沉着冷静、急而不乱的应急方针。</w:t>
      </w:r>
    </w:p>
    <w:p>
      <w:pPr>
        <w:bidi w:val="0"/>
        <w:rPr>
          <w:rFonts w:hint="default"/>
          <w:color w:val="auto"/>
          <w:lang w:val="en-US" w:eastAsia="zh-CN"/>
        </w:rPr>
      </w:pPr>
      <w:r>
        <w:rPr>
          <w:rFonts w:hint="default"/>
          <w:color w:val="auto"/>
          <w:lang w:val="en-US" w:eastAsia="zh-CN"/>
        </w:rPr>
        <w:t>3、以发出紧急救援为主，优先保护大多数人的人身安全，优先保护贵重财产，加强现场保护的应急程序进行应急救援。</w:t>
      </w:r>
    </w:p>
    <w:p>
      <w:pPr>
        <w:pStyle w:val="3"/>
        <w:bidi w:val="0"/>
        <w:rPr>
          <w:rFonts w:hint="default"/>
          <w:color w:val="auto"/>
          <w:lang w:val="en-US" w:eastAsia="zh-CN"/>
        </w:rPr>
      </w:pPr>
      <w:r>
        <w:rPr>
          <w:rFonts w:hint="default"/>
          <w:color w:val="auto"/>
          <w:lang w:val="en-US" w:eastAsia="zh-CN"/>
        </w:rPr>
        <w:t>可能发生的事故</w:t>
      </w:r>
    </w:p>
    <w:p>
      <w:pPr>
        <w:bidi w:val="0"/>
        <w:rPr>
          <w:rFonts w:hint="default"/>
          <w:color w:val="auto"/>
          <w:lang w:val="en-US" w:eastAsia="zh-CN"/>
        </w:rPr>
      </w:pPr>
      <w:r>
        <w:rPr>
          <w:rFonts w:hint="default"/>
          <w:color w:val="auto"/>
          <w:lang w:val="en-US" w:eastAsia="zh-CN"/>
        </w:rPr>
        <w:t>起火事故、机械伤人事故、脚手架倾覆事故、高处坠物伤人事故、坠落伤人事故、触电事故、夏天高温中暑昏倒事故、安全事故。</w:t>
      </w:r>
    </w:p>
    <w:p>
      <w:pPr>
        <w:pStyle w:val="3"/>
        <w:bidi w:val="0"/>
        <w:rPr>
          <w:rFonts w:hint="default"/>
          <w:color w:val="auto"/>
          <w:lang w:val="en-US" w:eastAsia="zh-CN"/>
        </w:rPr>
      </w:pPr>
      <w:r>
        <w:rPr>
          <w:rFonts w:hint="default"/>
          <w:color w:val="auto"/>
          <w:lang w:val="en-US" w:eastAsia="zh-CN"/>
        </w:rPr>
        <w:t>应急机构的组成、责任和分工</w:t>
      </w:r>
    </w:p>
    <w:p>
      <w:pPr>
        <w:bidi w:val="0"/>
        <w:rPr>
          <w:rFonts w:hint="default"/>
          <w:color w:val="auto"/>
          <w:lang w:val="en-US" w:eastAsia="zh-CN"/>
        </w:rPr>
      </w:pPr>
      <w:r>
        <w:rPr>
          <w:rFonts w:hint="default"/>
          <w:color w:val="auto"/>
          <w:lang w:val="en-US" w:eastAsia="zh-CN"/>
        </w:rPr>
        <w:t>1、应急总指挥</w:t>
      </w:r>
    </w:p>
    <w:p>
      <w:pPr>
        <w:bidi w:val="0"/>
        <w:rPr>
          <w:rFonts w:hint="default"/>
          <w:color w:val="auto"/>
          <w:lang w:val="en-US" w:eastAsia="zh-CN"/>
        </w:rPr>
      </w:pPr>
      <w:r>
        <w:rPr>
          <w:rFonts w:hint="default"/>
          <w:color w:val="auto"/>
          <w:lang w:val="en-US" w:eastAsia="zh-CN"/>
        </w:rPr>
        <w:t>负责分析紧急状态和确定相应报警级别，根据相关危险类型、潜在后果、现有资源和控制紧急情况的行动类型；指挥、协调应急反应行动；与项目部外应急反应人员、部门、组织机构进行联络；直接监察应急人员的行动；最大限度地保证现场人员和外援人员及相应的安全；协调后勤方面以支援应急反应组织；应急反应组织的启动；应急评估、确定升高或降低应急警报级别；通报外部机构；决定请求外部援助；决定应急撤离；决定事故现场外影响区域的安全性。</w:t>
      </w:r>
    </w:p>
    <w:p>
      <w:pPr>
        <w:bidi w:val="0"/>
        <w:rPr>
          <w:rFonts w:hint="default"/>
          <w:color w:val="auto"/>
          <w:lang w:val="en-US" w:eastAsia="zh-CN"/>
        </w:rPr>
      </w:pPr>
      <w:r>
        <w:rPr>
          <w:rFonts w:hint="default"/>
          <w:color w:val="auto"/>
          <w:lang w:val="en-US" w:eastAsia="zh-CN"/>
        </w:rPr>
        <w:t>2、事故现场总指挥：所有事故现场操作的指挥和协调；现场事故的评估；保证现场人员和公众应急行动的执行；控制紧急情况；现场应急反应行动的指挥，与在应急指挥中心的反应操作副总指挥的协调；作好应急救援处理现场指挥转化后的移交和应急救援处理协助工</w:t>
      </w:r>
      <w:r>
        <w:rPr>
          <w:rFonts w:hint="default"/>
          <w:color w:val="auto"/>
          <w:spacing w:val="-20"/>
          <w:lang w:val="en-US" w:eastAsia="zh-CN"/>
        </w:rPr>
        <w:t>作；做好消防、医疗、交通管制、抢险救灾等各公共救援部门联系工作。</w:t>
      </w:r>
    </w:p>
    <w:p>
      <w:pPr>
        <w:bidi w:val="0"/>
        <w:rPr>
          <w:rFonts w:hint="default"/>
          <w:color w:val="auto"/>
          <w:lang w:val="en-US" w:eastAsia="zh-CN"/>
        </w:rPr>
      </w:pPr>
      <w:r>
        <w:rPr>
          <w:rFonts w:hint="default"/>
          <w:color w:val="auto"/>
          <w:lang w:val="en-US" w:eastAsia="zh-CN"/>
        </w:rPr>
        <w:t>3、伤员营救组：引导现场施工人员从安全通道疏散；对受伤人员进行营救至安全地带。</w:t>
      </w:r>
    </w:p>
    <w:p>
      <w:pPr>
        <w:bidi w:val="0"/>
        <w:rPr>
          <w:rFonts w:hint="default"/>
          <w:color w:val="auto"/>
          <w:lang w:val="en-US" w:eastAsia="zh-CN"/>
        </w:rPr>
      </w:pPr>
      <w:r>
        <w:rPr>
          <w:rFonts w:hint="default"/>
          <w:color w:val="auto"/>
          <w:lang w:val="en-US" w:eastAsia="zh-CN"/>
        </w:rPr>
        <w:t>4、物资抢救组：抢运可转移的场区内物资；转移可能引起新危险源的物品到安全地带。</w:t>
      </w:r>
    </w:p>
    <w:p>
      <w:pPr>
        <w:bidi w:val="0"/>
        <w:rPr>
          <w:rFonts w:hint="default"/>
          <w:color w:val="auto"/>
          <w:lang w:val="en-US" w:eastAsia="zh-CN"/>
        </w:rPr>
      </w:pPr>
      <w:r>
        <w:rPr>
          <w:rFonts w:hint="default"/>
          <w:color w:val="auto"/>
          <w:lang w:val="en-US" w:eastAsia="zh-CN"/>
        </w:rPr>
        <w:t>5、消防灭火组：启动场区消防灭火装置和器材进行初期的消防灭火自救工作；协助消防部门进行消防灭火的辅助工作；</w:t>
      </w:r>
    </w:p>
    <w:p>
      <w:pPr>
        <w:bidi w:val="0"/>
        <w:rPr>
          <w:rFonts w:hint="default"/>
          <w:color w:val="auto"/>
          <w:lang w:val="en-US" w:eastAsia="zh-CN"/>
        </w:rPr>
      </w:pPr>
      <w:r>
        <w:rPr>
          <w:rFonts w:hint="default"/>
          <w:color w:val="auto"/>
          <w:lang w:val="en-US" w:eastAsia="zh-CN"/>
        </w:rPr>
        <w:t>6、后勤供给组：迅速组织后勤必须供给的物品；及时输送后勤供给物品到抢险人员手中。</w:t>
      </w:r>
    </w:p>
    <w:p>
      <w:pPr>
        <w:bidi w:val="0"/>
        <w:rPr>
          <w:rFonts w:hint="default"/>
          <w:color w:val="auto"/>
          <w:lang w:val="en-US" w:eastAsia="zh-CN"/>
        </w:rPr>
      </w:pPr>
      <w:r>
        <w:rPr>
          <w:rFonts w:hint="default"/>
          <w:color w:val="auto"/>
          <w:lang w:val="en-US" w:eastAsia="zh-CN"/>
        </w:rPr>
        <w:t>7、现场临时医疗组：对受伤人员进行简单的抢救和包扎工作；及时转移重伤人员到医疗机构就医。</w:t>
      </w:r>
    </w:p>
    <w:p>
      <w:pPr>
        <w:pStyle w:val="3"/>
        <w:bidi w:val="0"/>
        <w:rPr>
          <w:rFonts w:hint="default"/>
          <w:color w:val="auto"/>
          <w:lang w:val="en-US" w:eastAsia="zh-CN"/>
        </w:rPr>
      </w:pPr>
      <w:r>
        <w:rPr>
          <w:rFonts w:hint="default"/>
          <w:color w:val="auto"/>
          <w:lang w:val="en-US" w:eastAsia="zh-CN"/>
        </w:rPr>
        <w:t>事故应急与求援</w:t>
      </w:r>
    </w:p>
    <w:p>
      <w:pPr>
        <w:bidi w:val="0"/>
        <w:rPr>
          <w:rFonts w:hint="default"/>
          <w:color w:val="auto"/>
          <w:lang w:val="en-US" w:eastAsia="zh-CN"/>
        </w:rPr>
      </w:pPr>
      <w:r>
        <w:rPr>
          <w:rFonts w:hint="default"/>
          <w:color w:val="auto"/>
          <w:lang w:val="en-US" w:eastAsia="zh-CN"/>
        </w:rPr>
        <w:t>应急程序：报告联络有关人员（紧急时立刻报警、打求助电话）→必要时向社会发出求援请求→实施应急救援、保护事故现场、上报有关部门→善后处理。</w:t>
      </w:r>
    </w:p>
    <w:p>
      <w:pPr>
        <w:pStyle w:val="3"/>
        <w:bidi w:val="0"/>
        <w:rPr>
          <w:rFonts w:hint="default"/>
          <w:color w:val="auto"/>
          <w:lang w:val="en-US" w:eastAsia="zh-CN"/>
        </w:rPr>
      </w:pPr>
      <w:r>
        <w:rPr>
          <w:rFonts w:hint="default"/>
          <w:color w:val="auto"/>
          <w:lang w:val="en-US" w:eastAsia="zh-CN"/>
        </w:rPr>
        <w:t>应急求援注意事项</w:t>
      </w:r>
    </w:p>
    <w:p>
      <w:pPr>
        <w:bidi w:val="0"/>
        <w:rPr>
          <w:rFonts w:hint="default"/>
          <w:color w:val="auto"/>
          <w:lang w:val="en-US" w:eastAsia="zh-CN"/>
        </w:rPr>
      </w:pPr>
      <w:r>
        <w:rPr>
          <w:rFonts w:hint="default"/>
          <w:color w:val="auto"/>
          <w:lang w:val="en-US" w:eastAsia="zh-CN"/>
        </w:rPr>
        <w:t>1、最早发现者必须立即大声呼救，迅速向有关人员报告或报警；</w:t>
      </w:r>
    </w:p>
    <w:p>
      <w:pPr>
        <w:bidi w:val="0"/>
        <w:rPr>
          <w:rFonts w:hint="default"/>
          <w:color w:val="auto"/>
          <w:lang w:val="en-US" w:eastAsia="zh-CN"/>
        </w:rPr>
      </w:pPr>
      <w:r>
        <w:rPr>
          <w:rFonts w:hint="default"/>
          <w:color w:val="auto"/>
          <w:lang w:val="en-US" w:eastAsia="zh-CN"/>
        </w:rPr>
        <w:t>2、原因明确可立即采取正确的方法施救，禁止盲目救助；</w:t>
      </w:r>
    </w:p>
    <w:p>
      <w:pPr>
        <w:bidi w:val="0"/>
        <w:rPr>
          <w:rFonts w:hint="default"/>
          <w:color w:val="auto"/>
          <w:lang w:val="en-US" w:eastAsia="zh-CN"/>
        </w:rPr>
      </w:pPr>
      <w:r>
        <w:rPr>
          <w:rFonts w:hint="default"/>
          <w:color w:val="auto"/>
          <w:lang w:val="en-US" w:eastAsia="zh-CN"/>
        </w:rPr>
        <w:t>3、沉着冷静，从容应对，不得慌乱。</w:t>
      </w:r>
    </w:p>
    <w:p>
      <w:pPr>
        <w:bidi w:val="0"/>
        <w:rPr>
          <w:rFonts w:hint="default"/>
          <w:color w:val="auto"/>
          <w:lang w:val="en-US" w:eastAsia="zh-CN"/>
        </w:rPr>
      </w:pPr>
      <w:r>
        <w:rPr>
          <w:rFonts w:hint="default"/>
          <w:color w:val="auto"/>
          <w:lang w:val="en-US" w:eastAsia="zh-CN"/>
        </w:rPr>
        <w:t>4、发生触电、火灾时应先切断电源，采取正确营救及灭火方法。</w:t>
      </w:r>
    </w:p>
    <w:p>
      <w:pPr>
        <w:bidi w:val="0"/>
        <w:rPr>
          <w:rFonts w:hint="default"/>
          <w:color w:val="auto"/>
          <w:lang w:val="en-US" w:eastAsia="zh-CN"/>
        </w:rPr>
      </w:pPr>
      <w:r>
        <w:rPr>
          <w:rFonts w:hint="default"/>
          <w:color w:val="auto"/>
          <w:lang w:val="en-US" w:eastAsia="zh-CN"/>
        </w:rPr>
        <w:t>5、发现有伤者，采取正确的方法施救，妥善的对伤口进行处理，迅速就近送往医院。</w:t>
      </w:r>
    </w:p>
    <w:p>
      <w:pPr>
        <w:bidi w:val="0"/>
        <w:rPr>
          <w:rFonts w:hint="default"/>
          <w:color w:val="auto"/>
          <w:lang w:val="en-US" w:eastAsia="zh-CN"/>
        </w:rPr>
      </w:pPr>
      <w:r>
        <w:rPr>
          <w:rFonts w:hint="default"/>
          <w:color w:val="auto"/>
          <w:lang w:val="en-US" w:eastAsia="zh-CN"/>
        </w:rPr>
        <w:t>6、每位管理人员及施工人员都必须掌握各种逃生方法，熟悉逃生路线，会正确使用灭火器。</w:t>
      </w:r>
    </w:p>
    <w:p>
      <w:pPr>
        <w:bidi w:val="0"/>
        <w:rPr>
          <w:rFonts w:hint="default"/>
          <w:color w:val="auto"/>
          <w:lang w:val="en-US" w:eastAsia="zh-CN"/>
        </w:rPr>
      </w:pPr>
      <w:r>
        <w:rPr>
          <w:rFonts w:hint="default"/>
          <w:color w:val="auto"/>
          <w:lang w:val="en-US" w:eastAsia="zh-CN"/>
        </w:rPr>
        <w:t>7、发生事故后，保持现场，便于事故的调查，总结教训，防止类似事故再次发生。</w:t>
      </w:r>
    </w:p>
    <w:p>
      <w:pPr>
        <w:pStyle w:val="2"/>
        <w:bidi w:val="0"/>
        <w:rPr>
          <w:rFonts w:hint="default"/>
          <w:color w:val="auto"/>
          <w:lang w:val="en-US" w:eastAsia="zh-CN"/>
        </w:rPr>
      </w:pPr>
      <w:r>
        <w:rPr>
          <w:rFonts w:hint="default"/>
          <w:color w:val="auto"/>
          <w:lang w:val="en-US" w:eastAsia="zh-CN"/>
        </w:rPr>
        <w:br w:type="column"/>
      </w:r>
      <w:r>
        <w:rPr>
          <w:rFonts w:hint="default"/>
          <w:color w:val="auto"/>
          <w:lang w:val="en-US" w:eastAsia="zh-CN"/>
        </w:rPr>
        <w:t>人防设计</w:t>
      </w:r>
    </w:p>
    <w:p>
      <w:pPr>
        <w:pStyle w:val="3"/>
        <w:bidi w:val="0"/>
        <w:rPr>
          <w:rFonts w:hint="default"/>
          <w:color w:val="auto"/>
          <w:lang w:val="en-US" w:eastAsia="zh-CN"/>
        </w:rPr>
      </w:pPr>
      <w:r>
        <w:rPr>
          <w:rFonts w:hint="default"/>
          <w:color w:val="auto"/>
          <w:lang w:val="en-US" w:eastAsia="zh-CN"/>
        </w:rPr>
        <w:t>设计依据</w:t>
      </w:r>
    </w:p>
    <w:p>
      <w:pPr>
        <w:bidi w:val="0"/>
        <w:rPr>
          <w:rFonts w:hint="default"/>
          <w:color w:val="auto"/>
          <w:lang w:val="en-US" w:eastAsia="zh-CN"/>
        </w:rPr>
      </w:pPr>
      <w:r>
        <w:rPr>
          <w:rFonts w:hint="default"/>
          <w:color w:val="auto"/>
          <w:lang w:val="en-US" w:eastAsia="zh-CN"/>
        </w:rPr>
        <w:t>《中华人民共和国人民防空法》</w:t>
      </w:r>
    </w:p>
    <w:p>
      <w:pPr>
        <w:bidi w:val="0"/>
        <w:rPr>
          <w:rFonts w:hint="default"/>
          <w:color w:val="auto"/>
          <w:lang w:val="en-US" w:eastAsia="zh-CN"/>
        </w:rPr>
      </w:pPr>
      <w:r>
        <w:rPr>
          <w:rFonts w:hint="default"/>
          <w:color w:val="auto"/>
          <w:lang w:val="en-US" w:eastAsia="zh-CN"/>
        </w:rPr>
        <w:t>《湖南省人民防空工程建设与维护管理规定》(湖南省人民政府第297号令)</w:t>
      </w:r>
    </w:p>
    <w:p>
      <w:pPr>
        <w:bidi w:val="0"/>
        <w:rPr>
          <w:rFonts w:hint="default"/>
          <w:color w:val="auto"/>
          <w:lang w:val="en-US" w:eastAsia="zh-CN"/>
        </w:rPr>
      </w:pPr>
      <w:r>
        <w:rPr>
          <w:rFonts w:hint="default"/>
          <w:color w:val="auto"/>
          <w:lang w:val="en-US" w:eastAsia="zh-CN"/>
        </w:rPr>
        <w:t>《湖南省防空地下室建设实施细则》湘防办发[2020]11号</w:t>
      </w:r>
    </w:p>
    <w:p>
      <w:pPr>
        <w:bidi w:val="0"/>
        <w:rPr>
          <w:rFonts w:hint="default"/>
          <w:color w:val="auto"/>
          <w:lang w:val="en-US" w:eastAsia="zh-CN"/>
        </w:rPr>
      </w:pPr>
      <w:r>
        <w:rPr>
          <w:rFonts w:hint="default"/>
          <w:color w:val="auto"/>
          <w:lang w:val="en-US" w:eastAsia="zh-CN"/>
        </w:rPr>
        <w:t>国家及地区相关现行法规及规范</w:t>
      </w:r>
    </w:p>
    <w:p>
      <w:pPr>
        <w:pStyle w:val="3"/>
        <w:bidi w:val="0"/>
        <w:rPr>
          <w:rFonts w:hint="default"/>
          <w:color w:val="auto"/>
          <w:lang w:val="en-US" w:eastAsia="zh-CN"/>
        </w:rPr>
      </w:pPr>
      <w:r>
        <w:rPr>
          <w:rFonts w:hint="default"/>
          <w:color w:val="auto"/>
          <w:lang w:val="en-US" w:eastAsia="zh-CN"/>
        </w:rPr>
        <w:t>应建人防面积计算</w:t>
      </w:r>
    </w:p>
    <w:p>
      <w:pPr>
        <w:bidi w:val="0"/>
        <w:rPr>
          <w:rFonts w:hint="default"/>
          <w:color w:val="auto"/>
          <w:lang w:val="en-US" w:eastAsia="zh-CN"/>
        </w:rPr>
      </w:pPr>
      <w:r>
        <w:rPr>
          <w:rFonts w:hint="default"/>
          <w:color w:val="auto"/>
          <w:lang w:val="en-US" w:eastAsia="zh-CN"/>
        </w:rPr>
        <w:t>本项目性质为</w:t>
      </w:r>
      <w:r>
        <w:rPr>
          <w:rFonts w:hint="eastAsia"/>
          <w:color w:val="auto"/>
          <w:lang w:val="en-US" w:eastAsia="zh-CN"/>
        </w:rPr>
        <w:t>工业性质</w:t>
      </w:r>
      <w:r>
        <w:rPr>
          <w:rFonts w:hint="default"/>
          <w:color w:val="auto"/>
          <w:lang w:val="en-US" w:eastAsia="zh-CN"/>
        </w:rPr>
        <w:t>，主要建筑为</w:t>
      </w:r>
      <w:r>
        <w:rPr>
          <w:rFonts w:hint="eastAsia"/>
          <w:color w:val="auto"/>
          <w:lang w:val="en-US" w:eastAsia="zh-CN"/>
        </w:rPr>
        <w:t>厂房</w:t>
      </w:r>
      <w:r>
        <w:rPr>
          <w:rFonts w:hint="default"/>
          <w:color w:val="auto"/>
          <w:lang w:val="en-US" w:eastAsia="zh-CN"/>
        </w:rPr>
        <w:t>、</w:t>
      </w:r>
      <w:r>
        <w:rPr>
          <w:rFonts w:hint="eastAsia"/>
          <w:color w:val="auto"/>
          <w:lang w:val="en-US" w:eastAsia="zh-CN"/>
        </w:rPr>
        <w:t>办公楼</w:t>
      </w:r>
      <w:r>
        <w:rPr>
          <w:rFonts w:hint="default"/>
          <w:color w:val="auto"/>
          <w:lang w:val="en-US" w:eastAsia="zh-CN"/>
        </w:rPr>
        <w:t>.</w:t>
      </w:r>
      <w:r>
        <w:rPr>
          <w:rFonts w:hint="eastAsia"/>
          <w:color w:val="auto"/>
          <w:lang w:val="en-US" w:eastAsia="zh-CN"/>
        </w:rPr>
        <w:t>宿舍楼</w:t>
      </w:r>
      <w:r>
        <w:rPr>
          <w:rFonts w:hint="default"/>
          <w:color w:val="auto"/>
          <w:lang w:val="en-US" w:eastAsia="zh-CN"/>
        </w:rPr>
        <w:t>、门卫室、消防泵房、消防水池等配套设施用房。</w:t>
      </w:r>
    </w:p>
    <w:p>
      <w:pPr>
        <w:bidi w:val="0"/>
        <w:rPr>
          <w:rFonts w:hint="default"/>
          <w:color w:val="auto"/>
          <w:lang w:val="en-US" w:eastAsia="zh-CN"/>
        </w:rPr>
      </w:pPr>
      <w:r>
        <w:rPr>
          <w:rFonts w:hint="default"/>
          <w:color w:val="auto"/>
          <w:lang w:val="en-US" w:eastAsia="zh-CN"/>
        </w:rPr>
        <w:t>根据2020年1月1日起施行的《湖南省人民防空工程建设与维护管理规定》(湖南省人民政府令第297号)</w:t>
      </w:r>
    </w:p>
    <w:p>
      <w:pPr>
        <w:bidi w:val="0"/>
        <w:rPr>
          <w:rFonts w:hint="default"/>
          <w:color w:val="auto"/>
          <w:lang w:val="en-US" w:eastAsia="zh-CN"/>
        </w:rPr>
      </w:pPr>
      <w:r>
        <w:rPr>
          <w:rFonts w:hint="default"/>
          <w:color w:val="auto"/>
          <w:lang w:val="en-US" w:eastAsia="zh-CN"/>
        </w:rPr>
        <w:t>第十五条在县城以上城市规划区内新建民用建筑，按照下列规定同步修建防空地下室：</w:t>
      </w:r>
    </w:p>
    <w:p>
      <w:pPr>
        <w:bidi w:val="0"/>
        <w:rPr>
          <w:rFonts w:hint="default"/>
          <w:color w:val="auto"/>
          <w:lang w:val="en-US" w:eastAsia="zh-CN"/>
        </w:rPr>
      </w:pPr>
      <w:r>
        <w:rPr>
          <w:rFonts w:hint="default"/>
          <w:color w:val="auto"/>
          <w:lang w:val="en-US" w:eastAsia="zh-CN"/>
        </w:rPr>
        <w:t>（一）一类国家人防重点城市不低于地面总建筑面积的6%；</w:t>
      </w:r>
    </w:p>
    <w:p>
      <w:pPr>
        <w:bidi w:val="0"/>
        <w:rPr>
          <w:rFonts w:hint="default"/>
          <w:color w:val="auto"/>
          <w:spacing w:val="-20"/>
          <w:lang w:val="en-US" w:eastAsia="zh-CN"/>
        </w:rPr>
      </w:pPr>
      <w:r>
        <w:rPr>
          <w:rFonts w:hint="default"/>
          <w:color w:val="auto"/>
          <w:spacing w:val="-20"/>
          <w:lang w:val="en-US" w:eastAsia="zh-CN"/>
        </w:rPr>
        <w:t>（二）二类和三类国家人防重点城市不低于地面总建筑面积的5%；</w:t>
      </w:r>
    </w:p>
    <w:p>
      <w:pPr>
        <w:bidi w:val="0"/>
        <w:rPr>
          <w:rFonts w:hint="default"/>
          <w:color w:val="auto"/>
          <w:lang w:val="en-US" w:eastAsia="zh-CN"/>
        </w:rPr>
      </w:pPr>
      <w:r>
        <w:rPr>
          <w:rFonts w:hint="default"/>
          <w:color w:val="auto"/>
          <w:lang w:val="en-US" w:eastAsia="zh-CN"/>
        </w:rPr>
        <w:t>（三）县城不低于地面总建筑面积的4%。</w:t>
      </w:r>
    </w:p>
    <w:p>
      <w:pPr>
        <w:bidi w:val="0"/>
        <w:rPr>
          <w:rFonts w:hint="default"/>
          <w:color w:val="auto"/>
          <w:lang w:val="en-US" w:eastAsia="zh-CN"/>
        </w:rPr>
      </w:pPr>
      <w:r>
        <w:rPr>
          <w:rFonts w:hint="default"/>
          <w:color w:val="auto"/>
          <w:lang w:val="en-US" w:eastAsia="zh-CN"/>
        </w:rPr>
        <w:t>开发区、保税区、工业园区、高校园区等各类园区和重要经济目标区新建防空地下室的建设标准，按照所在地城市或者县城的规定执行。本项目位于湖南省</w:t>
      </w:r>
      <w:r>
        <w:rPr>
          <w:rFonts w:hint="eastAsia"/>
          <w:color w:val="auto"/>
          <w:lang w:val="en-US" w:eastAsia="zh-CN"/>
        </w:rPr>
        <w:t>汨罗市</w:t>
      </w:r>
      <w:r>
        <w:rPr>
          <w:rFonts w:hint="default"/>
          <w:color w:val="auto"/>
          <w:lang w:val="en-US" w:eastAsia="zh-CN"/>
        </w:rPr>
        <w:t>，防空地下室建筑系数取4%。</w:t>
      </w:r>
    </w:p>
    <w:p>
      <w:pPr>
        <w:bidi w:val="0"/>
        <w:rPr>
          <w:rFonts w:hint="default"/>
          <w:color w:val="auto"/>
          <w:lang w:val="en-US" w:eastAsia="zh-CN"/>
        </w:rPr>
      </w:pPr>
      <w:r>
        <w:rPr>
          <w:rFonts w:hint="default"/>
          <w:color w:val="auto"/>
          <w:lang w:val="en-US" w:eastAsia="zh-CN"/>
        </w:rPr>
        <w:t>第十八条新建民用建筑因地形、地质条件限制不能修建防空地下室或者应建防空地下室面积小于1000（含）平方米的，按照分级管理权限经人防主管部门批准，在办理建设工程规划许可证之前，依法缴纳防空地下室易地建设费。</w:t>
      </w:r>
    </w:p>
    <w:p>
      <w:pPr>
        <w:bidi w:val="0"/>
        <w:rPr>
          <w:rFonts w:hint="default"/>
          <w:color w:val="auto"/>
          <w:lang w:val="en-US" w:eastAsia="zh-CN"/>
        </w:rPr>
      </w:pPr>
      <w:r>
        <w:rPr>
          <w:rFonts w:hint="default"/>
          <w:color w:val="auto"/>
          <w:lang w:val="en-US" w:eastAsia="zh-CN"/>
        </w:rPr>
        <w:t>下列建设项目，除国防战备需要外，可以不修建防空地下室、不缴纳易地建设费：</w:t>
      </w:r>
    </w:p>
    <w:p>
      <w:pPr>
        <w:bidi w:val="0"/>
        <w:rPr>
          <w:rFonts w:hint="default"/>
          <w:color w:val="auto"/>
          <w:lang w:val="en-US" w:eastAsia="zh-CN"/>
        </w:rPr>
      </w:pPr>
      <w:r>
        <w:rPr>
          <w:rFonts w:hint="default"/>
          <w:color w:val="auto"/>
          <w:lang w:val="en-US" w:eastAsia="zh-CN"/>
        </w:rPr>
        <w:t>（一）工业生产厂房及其配套设施（办公用房、宿舍除外）；</w:t>
      </w:r>
    </w:p>
    <w:p>
      <w:pPr>
        <w:bidi w:val="0"/>
        <w:rPr>
          <w:rFonts w:hint="default"/>
          <w:color w:val="auto"/>
          <w:lang w:val="en-US" w:eastAsia="zh-CN"/>
        </w:rPr>
      </w:pPr>
      <w:r>
        <w:rPr>
          <w:rFonts w:hint="default"/>
          <w:color w:val="auto"/>
          <w:lang w:val="en-US" w:eastAsia="zh-CN"/>
        </w:rPr>
        <w:t>（二）物流仓储用房；</w:t>
      </w:r>
    </w:p>
    <w:p>
      <w:pPr>
        <w:bidi w:val="0"/>
        <w:rPr>
          <w:rFonts w:hint="default"/>
          <w:color w:val="auto"/>
          <w:lang w:val="en-US" w:eastAsia="zh-CN"/>
        </w:rPr>
      </w:pPr>
      <w:r>
        <w:rPr>
          <w:rFonts w:hint="default"/>
          <w:color w:val="auto"/>
          <w:lang w:val="en-US" w:eastAsia="zh-CN"/>
        </w:rPr>
        <w:t>（三）公益建筑，包括公共厕所、垃圾中转站、水泵房、消防站、变配电房（站）、开闭所、区域机房、纪念塔、殡葬等设施；</w:t>
      </w:r>
    </w:p>
    <w:p>
      <w:pPr>
        <w:bidi w:val="0"/>
        <w:rPr>
          <w:rFonts w:hint="default"/>
          <w:color w:val="auto"/>
          <w:lang w:val="en-US" w:eastAsia="zh-CN"/>
        </w:rPr>
      </w:pPr>
      <w:r>
        <w:rPr>
          <w:rFonts w:hint="default"/>
          <w:color w:val="auto"/>
          <w:lang w:val="en-US" w:eastAsia="zh-CN"/>
        </w:rPr>
        <w:t>（四）围墙、发射塔、烟囱、水塔、露天泳池、老旧居民楼加装电梯、公共停车楼、独立车棚等特殊建（构）筑物；</w:t>
      </w:r>
    </w:p>
    <w:p>
      <w:pPr>
        <w:bidi w:val="0"/>
        <w:rPr>
          <w:rFonts w:hint="default"/>
          <w:color w:val="auto"/>
          <w:lang w:val="en-US" w:eastAsia="zh-CN"/>
        </w:rPr>
      </w:pPr>
      <w:r>
        <w:rPr>
          <w:rFonts w:hint="default"/>
          <w:color w:val="auto"/>
          <w:lang w:val="en-US" w:eastAsia="zh-CN"/>
        </w:rPr>
        <w:t>（五）法律、法规规定的其他建设项目。</w:t>
      </w:r>
    </w:p>
    <w:p>
      <w:pPr>
        <w:bidi w:val="0"/>
        <w:rPr>
          <w:rFonts w:hint="default"/>
          <w:color w:val="auto"/>
          <w:lang w:val="en-US" w:eastAsia="zh-CN"/>
        </w:rPr>
      </w:pPr>
      <w:r>
        <w:rPr>
          <w:rFonts w:hint="eastAsia"/>
          <w:color w:val="auto"/>
          <w:lang w:val="en-US" w:eastAsia="zh-CN"/>
        </w:rPr>
        <w:t>厂房</w:t>
      </w:r>
      <w:r>
        <w:rPr>
          <w:rFonts w:hint="default"/>
          <w:color w:val="auto"/>
          <w:lang w:val="en-US" w:eastAsia="zh-CN"/>
        </w:rPr>
        <w:t>可以不修建防空地下室、不缴纳易地建设费，</w:t>
      </w:r>
      <w:r>
        <w:rPr>
          <w:rFonts w:hint="eastAsia"/>
          <w:color w:val="auto"/>
          <w:lang w:val="en-US" w:eastAsia="zh-CN"/>
        </w:rPr>
        <w:t>办公楼、宿舍楼、</w:t>
      </w:r>
      <w:r>
        <w:rPr>
          <w:rFonts w:hint="default"/>
          <w:color w:val="auto"/>
          <w:lang w:val="en-US" w:eastAsia="zh-CN"/>
        </w:rPr>
        <w:t>门卫室需建防空地下室、缴纳易地建设费。</w:t>
      </w:r>
    </w:p>
    <w:p>
      <w:pPr>
        <w:bidi w:val="0"/>
        <w:rPr>
          <w:rFonts w:hint="default"/>
          <w:color w:val="auto"/>
          <w:lang w:val="en-US" w:eastAsia="zh-CN"/>
        </w:rPr>
      </w:pPr>
      <w:r>
        <w:rPr>
          <w:rFonts w:hint="eastAsia"/>
          <w:color w:val="auto"/>
          <w:lang w:val="en-US" w:eastAsia="zh-CN"/>
        </w:rPr>
        <w:t>办公楼、宿舍楼、</w:t>
      </w:r>
      <w:r>
        <w:rPr>
          <w:rFonts w:hint="default"/>
          <w:color w:val="auto"/>
          <w:lang w:val="en-US" w:eastAsia="zh-CN"/>
        </w:rPr>
        <w:t>门卫室</w:t>
      </w:r>
      <w:r>
        <w:rPr>
          <w:rFonts w:hint="eastAsia"/>
          <w:color w:val="auto"/>
          <w:lang w:val="en-US" w:eastAsia="zh-CN"/>
        </w:rPr>
        <w:t>、设备房建筑总面积6398.64</w:t>
      </w:r>
      <w:r>
        <w:rPr>
          <w:rFonts w:hint="default"/>
          <w:color w:val="auto"/>
          <w:lang w:val="en-US" w:eastAsia="zh-CN"/>
        </w:rPr>
        <w:t>㎡，按4%的建筑面积建防空地下室，防空地下室面积为</w:t>
      </w:r>
      <w:r>
        <w:rPr>
          <w:rFonts w:hint="eastAsia"/>
          <w:color w:val="auto"/>
          <w:lang w:val="en-US" w:eastAsia="zh-CN"/>
        </w:rPr>
        <w:t>255</w:t>
      </w:r>
      <w:r>
        <w:rPr>
          <w:rFonts w:hint="default"/>
          <w:color w:val="auto"/>
          <w:lang w:val="en-US" w:eastAsia="zh-CN"/>
        </w:rPr>
        <w:t>㎡＜1000㎡，</w:t>
      </w:r>
    </w:p>
    <w:p>
      <w:pPr>
        <w:bidi w:val="0"/>
        <w:rPr>
          <w:rFonts w:hint="default"/>
          <w:color w:val="auto"/>
          <w:lang w:val="en-US" w:eastAsia="zh-CN"/>
        </w:rPr>
      </w:pPr>
      <w:r>
        <w:rPr>
          <w:rFonts w:hint="default"/>
          <w:color w:val="auto"/>
          <w:lang w:val="en-US" w:eastAsia="zh-CN"/>
        </w:rPr>
        <w:t>只需在办理建设工程规划许可证之前依法缴纳防空地下室易地建设费即可。</w:t>
      </w:r>
    </w:p>
    <w:p>
      <w:pPr>
        <w:pStyle w:val="2"/>
        <w:bidi w:val="0"/>
        <w:rPr>
          <w:rFonts w:hint="default"/>
          <w:color w:val="auto"/>
          <w:lang w:val="en-US" w:eastAsia="zh-CN"/>
        </w:rPr>
      </w:pPr>
      <w:r>
        <w:rPr>
          <w:rFonts w:hint="default"/>
          <w:color w:val="auto"/>
          <w:lang w:val="en-US" w:eastAsia="zh-CN"/>
        </w:rPr>
        <w:br w:type="column"/>
      </w:r>
      <w:r>
        <w:rPr>
          <w:rFonts w:hint="default"/>
          <w:color w:val="auto"/>
          <w:lang w:val="en-US" w:eastAsia="zh-CN"/>
        </w:rPr>
        <w:t>环境保护专篇</w:t>
      </w:r>
    </w:p>
    <w:p>
      <w:pPr>
        <w:pStyle w:val="3"/>
        <w:bidi w:val="0"/>
        <w:rPr>
          <w:rFonts w:hint="default"/>
          <w:color w:val="auto"/>
          <w:lang w:val="en-US" w:eastAsia="zh-CN"/>
        </w:rPr>
      </w:pPr>
      <w:r>
        <w:rPr>
          <w:rFonts w:hint="default"/>
          <w:color w:val="auto"/>
          <w:lang w:val="en-US" w:eastAsia="zh-CN"/>
        </w:rPr>
        <w:t>设计依据</w:t>
      </w:r>
    </w:p>
    <w:p>
      <w:pPr>
        <w:bidi w:val="0"/>
        <w:rPr>
          <w:rFonts w:hint="default"/>
          <w:color w:val="auto"/>
          <w:lang w:val="en-US" w:eastAsia="zh-CN"/>
        </w:rPr>
      </w:pPr>
      <w:r>
        <w:rPr>
          <w:rFonts w:hint="default"/>
          <w:color w:val="auto"/>
          <w:lang w:val="en-US" w:eastAsia="zh-CN"/>
        </w:rPr>
        <w:t>《污水综合排放标准》(GB8978-1996)</w:t>
      </w:r>
    </w:p>
    <w:p>
      <w:pPr>
        <w:bidi w:val="0"/>
        <w:rPr>
          <w:rFonts w:hint="default"/>
          <w:color w:val="auto"/>
          <w:lang w:val="en-US" w:eastAsia="zh-CN"/>
        </w:rPr>
      </w:pPr>
      <w:r>
        <w:rPr>
          <w:rFonts w:hint="default"/>
          <w:color w:val="auto"/>
          <w:lang w:val="en-US" w:eastAsia="zh-CN"/>
        </w:rPr>
        <w:t>《民用建筑隔声设计规范》(GBJ87-85)</w:t>
      </w:r>
    </w:p>
    <w:p>
      <w:pPr>
        <w:bidi w:val="0"/>
        <w:rPr>
          <w:rFonts w:hint="default"/>
          <w:color w:val="auto"/>
          <w:lang w:val="en-US" w:eastAsia="zh-CN"/>
        </w:rPr>
      </w:pPr>
      <w:r>
        <w:rPr>
          <w:rFonts w:hint="default"/>
          <w:color w:val="auto"/>
          <w:lang w:val="en-US" w:eastAsia="zh-CN"/>
        </w:rPr>
        <w:t>其它国家、地方、行业有关规定。</w:t>
      </w:r>
    </w:p>
    <w:p>
      <w:pPr>
        <w:pStyle w:val="3"/>
        <w:bidi w:val="0"/>
        <w:rPr>
          <w:rFonts w:hint="default"/>
          <w:color w:val="auto"/>
          <w:lang w:val="en-US" w:eastAsia="zh-CN"/>
        </w:rPr>
      </w:pPr>
      <w:r>
        <w:rPr>
          <w:rFonts w:hint="default"/>
          <w:color w:val="auto"/>
          <w:lang w:val="en-US" w:eastAsia="zh-CN"/>
        </w:rPr>
        <w:t>污染源概况</w:t>
      </w:r>
    </w:p>
    <w:p>
      <w:pPr>
        <w:bidi w:val="0"/>
        <w:rPr>
          <w:rFonts w:hint="default"/>
          <w:color w:val="auto"/>
          <w:lang w:val="en-US" w:eastAsia="zh-CN"/>
        </w:rPr>
      </w:pPr>
      <w:r>
        <w:rPr>
          <w:rFonts w:hint="default"/>
          <w:color w:val="auto"/>
          <w:lang w:val="en-US" w:eastAsia="zh-CN"/>
        </w:rPr>
        <w:t>本工程为多层厂房，主要污染源为厂房加工车间的生产废弃物</w:t>
      </w:r>
      <w:r>
        <w:rPr>
          <w:rFonts w:hint="eastAsia"/>
          <w:color w:val="auto"/>
          <w:lang w:val="en-US" w:eastAsia="zh-CN"/>
        </w:rPr>
        <w:t>及配套生活用房的生活垃圾</w:t>
      </w:r>
      <w:r>
        <w:rPr>
          <w:rFonts w:hint="default"/>
          <w:color w:val="auto"/>
          <w:lang w:val="en-US" w:eastAsia="zh-CN"/>
        </w:rPr>
        <w:t>。</w:t>
      </w:r>
    </w:p>
    <w:p>
      <w:pPr>
        <w:pStyle w:val="3"/>
        <w:bidi w:val="0"/>
        <w:rPr>
          <w:rFonts w:hint="default"/>
          <w:color w:val="auto"/>
          <w:lang w:val="en-US" w:eastAsia="zh-CN"/>
        </w:rPr>
      </w:pPr>
      <w:r>
        <w:rPr>
          <w:rFonts w:hint="default"/>
          <w:color w:val="auto"/>
          <w:lang w:val="en-US" w:eastAsia="zh-CN"/>
        </w:rPr>
        <w:t>供气及污水处理</w:t>
      </w:r>
    </w:p>
    <w:p>
      <w:pPr>
        <w:bidi w:val="0"/>
        <w:rPr>
          <w:rFonts w:hint="default"/>
          <w:color w:val="auto"/>
          <w:lang w:val="en-US" w:eastAsia="zh-CN"/>
        </w:rPr>
      </w:pPr>
      <w:r>
        <w:rPr>
          <w:rFonts w:hint="default"/>
          <w:color w:val="auto"/>
          <w:lang w:val="en-US" w:eastAsia="zh-CN"/>
        </w:rPr>
        <w:t>本工程近期采用液化石油气，远期气源可以保证时置换为天然气。雨水、污水分流，生活污水经化粪池处理后直接排入城市管网，用地内无污染源。</w:t>
      </w:r>
    </w:p>
    <w:p>
      <w:pPr>
        <w:pStyle w:val="3"/>
        <w:bidi w:val="0"/>
        <w:rPr>
          <w:rFonts w:hint="default"/>
          <w:color w:val="auto"/>
          <w:lang w:val="en-US" w:eastAsia="zh-CN"/>
        </w:rPr>
      </w:pPr>
      <w:r>
        <w:rPr>
          <w:rFonts w:hint="default"/>
          <w:color w:val="auto"/>
          <w:lang w:val="en-US" w:eastAsia="zh-CN"/>
        </w:rPr>
        <w:t>设备噪声</w:t>
      </w:r>
    </w:p>
    <w:p>
      <w:pPr>
        <w:bidi w:val="0"/>
        <w:rPr>
          <w:rFonts w:hint="default"/>
          <w:color w:val="auto"/>
          <w:lang w:val="en-US" w:eastAsia="zh-CN"/>
        </w:rPr>
      </w:pPr>
      <w:r>
        <w:rPr>
          <w:rFonts w:hint="default"/>
          <w:color w:val="auto"/>
          <w:lang w:val="en-US" w:eastAsia="zh-CN"/>
        </w:rPr>
        <w:t>本工程选用的水泵、排风机等均采用低噪声高效率产品，并设计隔振支座基础，管道软接头措施，避免噪声源程序对厂房的干扰。个别产生噪音较大的机房，选用密闭窗隔声门，并会在墙面、顶棚设计吸声构造。</w:t>
      </w:r>
    </w:p>
    <w:p>
      <w:pPr>
        <w:pStyle w:val="3"/>
        <w:bidi w:val="0"/>
        <w:rPr>
          <w:rFonts w:hint="default"/>
          <w:color w:val="auto"/>
          <w:lang w:val="en-US" w:eastAsia="zh-CN"/>
        </w:rPr>
      </w:pPr>
      <w:r>
        <w:rPr>
          <w:rFonts w:hint="default"/>
          <w:color w:val="auto"/>
          <w:lang w:val="en-US" w:eastAsia="zh-CN"/>
        </w:rPr>
        <w:t>普通固体垃圾</w:t>
      </w:r>
    </w:p>
    <w:p>
      <w:pPr>
        <w:bidi w:val="0"/>
        <w:rPr>
          <w:rFonts w:hint="default"/>
          <w:color w:val="auto"/>
          <w:lang w:val="en-US" w:eastAsia="zh-CN"/>
        </w:rPr>
      </w:pPr>
      <w:r>
        <w:rPr>
          <w:rFonts w:hint="default"/>
          <w:color w:val="auto"/>
          <w:lang w:val="en-US" w:eastAsia="zh-CN"/>
        </w:rPr>
        <w:t>本工程的生活垃圾袋装化，专人负责封袋清运，定期送至工业园区的垃圾站集中。</w:t>
      </w:r>
    </w:p>
    <w:p>
      <w:pPr>
        <w:pStyle w:val="3"/>
        <w:bidi w:val="0"/>
        <w:rPr>
          <w:rFonts w:hint="default"/>
          <w:color w:val="auto"/>
          <w:lang w:val="en-US" w:eastAsia="zh-CN"/>
        </w:rPr>
      </w:pPr>
      <w:r>
        <w:rPr>
          <w:rFonts w:hint="default"/>
          <w:color w:val="auto"/>
          <w:lang w:val="en-US" w:eastAsia="zh-CN"/>
        </w:rPr>
        <w:t>给排水环境保护措施</w:t>
      </w:r>
    </w:p>
    <w:p>
      <w:pPr>
        <w:bidi w:val="0"/>
        <w:rPr>
          <w:rFonts w:hint="default"/>
          <w:color w:val="auto"/>
          <w:lang w:val="en-US" w:eastAsia="zh-CN"/>
        </w:rPr>
      </w:pPr>
      <w:r>
        <w:rPr>
          <w:rFonts w:hint="default"/>
          <w:color w:val="auto"/>
          <w:lang w:val="en-US" w:eastAsia="zh-CN"/>
        </w:rPr>
        <w:t>1．场地内排水采用雨污分流制。</w:t>
      </w:r>
    </w:p>
    <w:p>
      <w:pPr>
        <w:bidi w:val="0"/>
        <w:rPr>
          <w:rFonts w:hint="default"/>
          <w:color w:val="auto"/>
          <w:lang w:val="en-US" w:eastAsia="zh-CN"/>
        </w:rPr>
      </w:pPr>
      <w:r>
        <w:rPr>
          <w:rFonts w:hint="default"/>
          <w:color w:val="auto"/>
          <w:lang w:val="en-US" w:eastAsia="zh-CN"/>
        </w:rPr>
        <w:t>2．本工程最高日生活污水排水量约14.0m3/d（按生活用水量的40%计算）。</w:t>
      </w:r>
    </w:p>
    <w:p>
      <w:pPr>
        <w:bidi w:val="0"/>
        <w:rPr>
          <w:rFonts w:hint="default"/>
          <w:color w:val="auto"/>
          <w:lang w:val="en-US" w:eastAsia="zh-CN"/>
        </w:rPr>
      </w:pPr>
      <w:r>
        <w:rPr>
          <w:rFonts w:hint="default"/>
          <w:color w:val="auto"/>
          <w:lang w:val="en-US" w:eastAsia="zh-CN"/>
        </w:rPr>
        <w:t>（1）室内采用粪便污水与洗浴废水合流排水管道系统。</w:t>
      </w:r>
    </w:p>
    <w:p>
      <w:pPr>
        <w:bidi w:val="0"/>
        <w:rPr>
          <w:rFonts w:hint="default"/>
          <w:color w:val="auto"/>
          <w:lang w:val="en-US" w:eastAsia="zh-CN"/>
        </w:rPr>
      </w:pPr>
      <w:r>
        <w:rPr>
          <w:rFonts w:hint="default"/>
          <w:color w:val="auto"/>
          <w:lang w:val="en-US" w:eastAsia="zh-CN"/>
        </w:rPr>
        <w:t>（2）空调机冷凝水均采用管道有组织排入室外散水明沟。</w:t>
      </w:r>
    </w:p>
    <w:p>
      <w:pPr>
        <w:bidi w:val="0"/>
        <w:rPr>
          <w:rFonts w:hint="default"/>
          <w:color w:val="auto"/>
          <w:lang w:val="en-US" w:eastAsia="zh-CN"/>
        </w:rPr>
      </w:pPr>
      <w:r>
        <w:rPr>
          <w:rFonts w:hint="default"/>
          <w:color w:val="auto"/>
          <w:lang w:val="en-US" w:eastAsia="zh-CN"/>
        </w:rPr>
        <w:t>（3）生活污水排水量详本说明书。</w:t>
      </w:r>
    </w:p>
    <w:p>
      <w:pPr>
        <w:bidi w:val="0"/>
        <w:rPr>
          <w:rFonts w:hint="default"/>
          <w:color w:val="auto"/>
          <w:lang w:val="en-US" w:eastAsia="zh-CN"/>
        </w:rPr>
      </w:pPr>
      <w:r>
        <w:rPr>
          <w:rFonts w:hint="default"/>
          <w:color w:val="auto"/>
          <w:lang w:val="en-US" w:eastAsia="zh-CN"/>
        </w:rPr>
        <w:t>（4）室内地面层（±0.000m）以上的生活污水重力流排出。</w:t>
      </w:r>
    </w:p>
    <w:p>
      <w:pPr>
        <w:bidi w:val="0"/>
        <w:rPr>
          <w:rFonts w:hint="default"/>
          <w:color w:val="auto"/>
          <w:lang w:val="en-US" w:eastAsia="zh-CN"/>
        </w:rPr>
      </w:pPr>
      <w:r>
        <w:rPr>
          <w:rFonts w:hint="default"/>
          <w:color w:val="auto"/>
          <w:lang w:val="en-US" w:eastAsia="zh-CN"/>
        </w:rPr>
        <w:t>（5）生活污水立管经适当汇集转换后排出室外。多层建筑采用普通伸顶通气单立管排水系统。粪便污水经化粪池处理后排入开园路规划市政污水管网。</w:t>
      </w:r>
    </w:p>
    <w:p>
      <w:pPr>
        <w:bidi w:val="0"/>
        <w:rPr>
          <w:rFonts w:hint="default"/>
          <w:color w:val="auto"/>
          <w:lang w:val="en-US" w:eastAsia="zh-CN"/>
        </w:rPr>
      </w:pPr>
      <w:r>
        <w:rPr>
          <w:rFonts w:hint="default"/>
          <w:color w:val="auto"/>
          <w:lang w:val="en-US" w:eastAsia="zh-CN"/>
        </w:rPr>
        <w:t>3．本工程污水经化粪池处理后排入城市污水管道，防止对城市污水管道造成淤塞</w:t>
      </w:r>
    </w:p>
    <w:p>
      <w:pPr>
        <w:bidi w:val="0"/>
        <w:rPr>
          <w:rFonts w:hint="default"/>
          <w:color w:val="auto"/>
          <w:lang w:val="en-US" w:eastAsia="zh-CN"/>
        </w:rPr>
      </w:pPr>
      <w:r>
        <w:rPr>
          <w:rFonts w:hint="default"/>
          <w:color w:val="auto"/>
          <w:lang w:val="en-US" w:eastAsia="zh-CN"/>
        </w:rPr>
        <w:t>4．潜水泵坑均采用防臭密闭人孔盖。</w:t>
      </w:r>
    </w:p>
    <w:p>
      <w:pPr>
        <w:bidi w:val="0"/>
        <w:rPr>
          <w:rFonts w:hint="default"/>
          <w:color w:val="auto"/>
          <w:lang w:val="en-US" w:eastAsia="zh-CN"/>
        </w:rPr>
      </w:pPr>
      <w:r>
        <w:rPr>
          <w:rFonts w:hint="default"/>
          <w:color w:val="auto"/>
          <w:lang w:val="en-US" w:eastAsia="zh-CN"/>
        </w:rPr>
        <w:t>5．本项目没有排放超标的液态污染源。</w:t>
      </w:r>
    </w:p>
    <w:p>
      <w:pPr>
        <w:pStyle w:val="3"/>
        <w:bidi w:val="0"/>
        <w:rPr>
          <w:color w:val="auto"/>
        </w:rPr>
      </w:pPr>
      <w:r>
        <w:rPr>
          <w:color w:val="auto"/>
        </w:rPr>
        <w:t>废气处理</w:t>
      </w:r>
    </w:p>
    <w:p>
      <w:pPr>
        <w:bidi w:val="0"/>
        <w:rPr>
          <w:color w:val="auto"/>
        </w:rPr>
      </w:pPr>
      <w:r>
        <w:rPr>
          <w:color w:val="auto"/>
        </w:rPr>
        <w:t>本工程无有害气体排放。</w:t>
      </w:r>
    </w:p>
    <w:p>
      <w:pPr>
        <w:pStyle w:val="2"/>
        <w:bidi w:val="0"/>
        <w:rPr>
          <w:rFonts w:hint="eastAsia"/>
          <w:color w:val="auto"/>
        </w:rPr>
      </w:pPr>
      <w:r>
        <w:rPr>
          <w:color w:val="auto"/>
        </w:rPr>
        <w:br w:type="column"/>
      </w:r>
      <w:r>
        <w:rPr>
          <w:rFonts w:hint="eastAsia"/>
          <w:color w:val="auto"/>
        </w:rPr>
        <w:t>安全卫生专篇</w:t>
      </w:r>
    </w:p>
    <w:p>
      <w:pPr>
        <w:pStyle w:val="3"/>
        <w:bidi w:val="0"/>
        <w:rPr>
          <w:rFonts w:hint="eastAsia"/>
          <w:color w:val="auto"/>
        </w:rPr>
      </w:pPr>
      <w:r>
        <w:rPr>
          <w:rFonts w:hint="eastAsia"/>
          <w:color w:val="auto"/>
        </w:rPr>
        <w:t>给排水安全卫生设计</w:t>
      </w:r>
    </w:p>
    <w:p>
      <w:pPr>
        <w:bidi w:val="0"/>
        <w:rPr>
          <w:rFonts w:hint="eastAsia"/>
          <w:color w:val="auto"/>
          <w:lang w:eastAsia="zh-CN"/>
        </w:rPr>
      </w:pPr>
      <w:r>
        <w:rPr>
          <w:rFonts w:hint="eastAsia"/>
          <w:color w:val="auto"/>
        </w:rPr>
        <w:t>1.消防水池设自洁式消毒器，并定期对池水进行循环，防止水质变坏。水池通气管及溢水管管口加防虫网罩，防止杂物尘埃进入池内污染水质。</w:t>
      </w:r>
    </w:p>
    <w:p>
      <w:pPr>
        <w:bidi w:val="0"/>
        <w:rPr>
          <w:rFonts w:hint="eastAsia"/>
          <w:color w:val="auto"/>
          <w:lang w:eastAsia="zh-CN"/>
        </w:rPr>
      </w:pPr>
      <w:r>
        <w:rPr>
          <w:rFonts w:hint="eastAsia"/>
          <w:color w:val="auto"/>
        </w:rPr>
        <w:t>2.本工程总水表之后设管道倒流防止器，防止红线内给水管网之水倒流污染城市给水。</w:t>
      </w:r>
    </w:p>
    <w:p>
      <w:pPr>
        <w:bidi w:val="0"/>
        <w:rPr>
          <w:rFonts w:hint="eastAsia"/>
          <w:color w:val="auto"/>
          <w:lang w:eastAsia="zh-CN"/>
        </w:rPr>
      </w:pPr>
      <w:r>
        <w:rPr>
          <w:rFonts w:hint="eastAsia"/>
          <w:color w:val="auto"/>
        </w:rPr>
        <w:t>5.公共卫生间内的蹲式大便器采用低水箱冲洗阀。</w:t>
      </w:r>
    </w:p>
    <w:p>
      <w:pPr>
        <w:bidi w:val="0"/>
        <w:rPr>
          <w:rFonts w:hint="eastAsia"/>
          <w:color w:val="auto"/>
          <w:lang w:eastAsia="zh-CN"/>
        </w:rPr>
      </w:pPr>
      <w:r>
        <w:rPr>
          <w:rFonts w:hint="eastAsia"/>
          <w:color w:val="auto"/>
        </w:rPr>
        <w:t>6.室内污水排水管道系统设置伸顶通气管，改善排水水力条件和卫生间的空气卫生条件。</w:t>
      </w:r>
    </w:p>
    <w:p>
      <w:pPr>
        <w:bidi w:val="0"/>
        <w:rPr>
          <w:rFonts w:hint="eastAsia"/>
          <w:color w:val="auto"/>
        </w:rPr>
      </w:pPr>
      <w:r>
        <w:rPr>
          <w:rFonts w:hint="eastAsia"/>
          <w:color w:val="auto"/>
        </w:rPr>
        <w:t>7.室内所用排水地漏的水封高度不小于50mm。</w:t>
      </w:r>
    </w:p>
    <w:p>
      <w:pPr>
        <w:bidi w:val="0"/>
        <w:rPr>
          <w:rFonts w:hint="eastAsia"/>
          <w:color w:val="auto"/>
        </w:rPr>
      </w:pPr>
      <w:r>
        <w:rPr>
          <w:rFonts w:hint="eastAsia"/>
          <w:color w:val="auto"/>
        </w:rPr>
        <w:t>8.本工程污水经化粪池初步处理后排入城市污水管网，防止对城市污水管道造成淤塞。</w:t>
      </w:r>
    </w:p>
    <w:p>
      <w:pPr>
        <w:pStyle w:val="3"/>
        <w:bidi w:val="0"/>
        <w:rPr>
          <w:rFonts w:hint="eastAsia"/>
          <w:color w:val="auto"/>
        </w:rPr>
      </w:pPr>
      <w:r>
        <w:rPr>
          <w:rFonts w:hint="eastAsia"/>
          <w:color w:val="auto"/>
        </w:rPr>
        <w:t>电气安全设计</w:t>
      </w:r>
    </w:p>
    <w:p>
      <w:pPr>
        <w:pStyle w:val="4"/>
        <w:bidi w:val="0"/>
        <w:rPr>
          <w:rFonts w:hint="eastAsia"/>
          <w:color w:val="auto"/>
        </w:rPr>
      </w:pPr>
      <w:r>
        <w:rPr>
          <w:rFonts w:hint="eastAsia"/>
          <w:color w:val="auto"/>
        </w:rPr>
        <w:t>防雷等级</w:t>
      </w:r>
    </w:p>
    <w:p>
      <w:pPr>
        <w:bidi w:val="0"/>
        <w:rPr>
          <w:rFonts w:hint="eastAsia"/>
          <w:color w:val="auto"/>
        </w:rPr>
      </w:pPr>
      <w:r>
        <w:rPr>
          <w:rFonts w:hint="eastAsia"/>
          <w:color w:val="auto"/>
        </w:rPr>
        <w:t>根据公式N=kNgAe计算，本工程建筑物为二类防雷建筑物。</w:t>
      </w:r>
    </w:p>
    <w:p>
      <w:pPr>
        <w:pStyle w:val="4"/>
        <w:bidi w:val="0"/>
        <w:rPr>
          <w:rFonts w:hint="eastAsia"/>
          <w:color w:val="auto"/>
        </w:rPr>
      </w:pPr>
      <w:r>
        <w:rPr>
          <w:rFonts w:hint="eastAsia"/>
          <w:color w:val="auto"/>
        </w:rPr>
        <w:t>防雷与接地及安全措施</w:t>
      </w:r>
    </w:p>
    <w:p>
      <w:pPr>
        <w:bidi w:val="0"/>
        <w:rPr>
          <w:rFonts w:hint="eastAsia"/>
          <w:color w:val="auto"/>
        </w:rPr>
      </w:pPr>
      <w:r>
        <w:rPr>
          <w:rFonts w:hint="eastAsia"/>
          <w:color w:val="auto"/>
        </w:rPr>
        <w:t>1、为防止直接雷击，配合屋顶建筑造型安装避雷针及沿女儿墙装设环状避雷带暗装，并在屋面上形成不大于10m×10m的网格。突出屋面的金属物体及管道均与避雷带紧密焊接。单体建筑物四周应设置防雷安全检测卡。</w:t>
      </w:r>
    </w:p>
    <w:p>
      <w:pPr>
        <w:bidi w:val="0"/>
        <w:rPr>
          <w:rFonts w:hint="eastAsia"/>
          <w:color w:val="auto"/>
        </w:rPr>
      </w:pPr>
      <w:r>
        <w:rPr>
          <w:rFonts w:hint="eastAsia"/>
          <w:color w:val="auto"/>
        </w:rPr>
        <w:t>2、利用土建结构柱内对角主筋上下焊接作为引下线，引下线间距18m米。利用基础底板钢筋作为接地装置，并利用基础底板钢筋焊接成网格均衡地电位。进入建筑物的金属管道，电缆金属外皮等均与接地网相连。</w:t>
      </w:r>
    </w:p>
    <w:p>
      <w:pPr>
        <w:bidi w:val="0"/>
        <w:rPr>
          <w:rFonts w:hint="eastAsia"/>
          <w:color w:val="auto"/>
        </w:rPr>
      </w:pPr>
      <w:r>
        <w:rPr>
          <w:rFonts w:hint="eastAsia"/>
          <w:color w:val="auto"/>
        </w:rPr>
        <w:t>3、低压配电系统采用TN-S系统，变压器中性点直接接地。从低压配电装置开始，N线与PE线分开。N线为工作零线，PE线为保护接地线，三相四线制。</w:t>
      </w:r>
    </w:p>
    <w:p>
      <w:pPr>
        <w:bidi w:val="0"/>
        <w:rPr>
          <w:rFonts w:hint="eastAsia"/>
          <w:color w:val="auto"/>
        </w:rPr>
      </w:pPr>
      <w:r>
        <w:rPr>
          <w:rFonts w:hint="eastAsia"/>
          <w:color w:val="auto"/>
        </w:rPr>
        <w:t>4、低压配电系统的工作接地、防雷接地、用电设备的保护接地以及弱电接地共用接地装置，接地电阻不大于1欧。</w:t>
      </w:r>
    </w:p>
    <w:p>
      <w:pPr>
        <w:bidi w:val="0"/>
        <w:rPr>
          <w:rFonts w:hint="eastAsia"/>
          <w:color w:val="auto"/>
        </w:rPr>
      </w:pPr>
      <w:r>
        <w:rPr>
          <w:rFonts w:hint="eastAsia"/>
          <w:color w:val="auto"/>
        </w:rPr>
        <w:t>5、低压配电系统中，插座回路装设漏电保护。</w:t>
      </w:r>
    </w:p>
    <w:p>
      <w:pPr>
        <w:bidi w:val="0"/>
        <w:rPr>
          <w:rFonts w:hint="eastAsia"/>
          <w:color w:val="auto"/>
        </w:rPr>
      </w:pPr>
      <w:r>
        <w:rPr>
          <w:rFonts w:hint="eastAsia"/>
          <w:color w:val="auto"/>
        </w:rPr>
        <w:t>6、进线处、屋顶等配电系统设浪涌保护。</w:t>
      </w:r>
    </w:p>
    <w:p>
      <w:pPr>
        <w:bidi w:val="0"/>
        <w:rPr>
          <w:rFonts w:hint="eastAsia"/>
          <w:color w:val="auto"/>
        </w:rPr>
      </w:pPr>
      <w:r>
        <w:rPr>
          <w:rFonts w:hint="eastAsia"/>
          <w:color w:val="auto"/>
        </w:rPr>
        <w:t>7、采用总等电位联结，其总等电位联结线必须与楼内所有导电部分相互连接，如保护干线、接地干线、建筑物内的输送管道的金属件（如水管等）、空调系统管、建筑物金属构件等导电体、总等电位联结主母线采用25MM铜导线。各卫生做局部等电位联结。</w:t>
      </w:r>
    </w:p>
    <w:p>
      <w:pPr>
        <w:bidi w:val="0"/>
        <w:rPr>
          <w:color w:val="auto"/>
        </w:rPr>
      </w:pPr>
      <w:r>
        <w:rPr>
          <w:rFonts w:hint="eastAsia"/>
          <w:color w:val="auto"/>
        </w:rPr>
        <w:t>8、低压配电系统中，插座回路装设漏电保护，监控室、消防控制室、电梯机房电源等均设置SPD，SPD应选择实验合格的产品，且满足湖南省气象部门要求。同时监控室、消防控制室等做局部等电位联结。</w:t>
      </w:r>
    </w:p>
    <w:p>
      <w:pPr>
        <w:pStyle w:val="2"/>
        <w:bidi w:val="0"/>
        <w:rPr>
          <w:rFonts w:hint="default"/>
          <w:color w:val="auto"/>
          <w:lang w:val="en-US" w:eastAsia="zh-CN"/>
        </w:rPr>
      </w:pPr>
      <w:r>
        <w:rPr>
          <w:rFonts w:hint="default"/>
          <w:color w:val="auto"/>
          <w:lang w:val="en-US" w:eastAsia="zh-CN"/>
        </w:rPr>
        <w:br w:type="column"/>
      </w:r>
      <w:r>
        <w:rPr>
          <w:rFonts w:hint="default"/>
          <w:color w:val="auto"/>
          <w:lang w:val="en-US" w:eastAsia="zh-CN"/>
        </w:rPr>
        <w:t>工程概算</w:t>
      </w:r>
    </w:p>
    <w:p>
      <w:pPr>
        <w:pStyle w:val="3"/>
        <w:bidi w:val="0"/>
        <w:rPr>
          <w:rFonts w:hint="default"/>
          <w:color w:val="auto"/>
          <w:lang w:val="en-US" w:eastAsia="zh-CN"/>
        </w:rPr>
      </w:pPr>
      <w:r>
        <w:rPr>
          <w:rFonts w:hint="default"/>
          <w:color w:val="auto"/>
          <w:lang w:val="en-US" w:eastAsia="zh-CN"/>
        </w:rPr>
        <w:t>工程概况</w:t>
      </w:r>
    </w:p>
    <w:p>
      <w:pPr>
        <w:bidi w:val="0"/>
        <w:rPr>
          <w:rFonts w:hint="default"/>
          <w:color w:val="auto"/>
          <w:lang w:val="en-US" w:eastAsia="zh-CN"/>
        </w:rPr>
      </w:pPr>
      <w:r>
        <w:rPr>
          <w:rFonts w:hint="default"/>
          <w:color w:val="auto"/>
          <w:lang w:val="en-US" w:eastAsia="zh-CN"/>
        </w:rPr>
        <w:t>本项目为</w:t>
      </w:r>
      <w:r>
        <w:rPr>
          <w:rFonts w:hint="eastAsia"/>
          <w:color w:val="auto"/>
          <w:lang w:val="en-US" w:eastAsia="zh-CN"/>
        </w:rPr>
        <w:t>湖南汨罗高新技术产业开发区产城融合示范基地基础设施建设项目，位于</w:t>
      </w:r>
      <w:r>
        <w:rPr>
          <w:rFonts w:hint="eastAsia"/>
          <w:color w:val="auto"/>
          <w:lang w:eastAsia="zh-CN"/>
        </w:rPr>
        <w:t>汨罗市新市镇新阳社区，清云路与新市南路交汇处西南侧地块。</w:t>
      </w:r>
      <w:r>
        <w:rPr>
          <w:rFonts w:hint="eastAsia"/>
          <w:color w:val="auto"/>
          <w:lang w:val="en-US" w:eastAsia="zh-CN"/>
        </w:rPr>
        <w:t>建设单位为湖南汨罗高新技术产业开发区管理委员会。</w:t>
      </w:r>
    </w:p>
    <w:p>
      <w:pPr>
        <w:bidi w:val="0"/>
        <w:rPr>
          <w:color w:val="auto"/>
        </w:rPr>
      </w:pPr>
      <w:r>
        <w:rPr>
          <w:rFonts w:hint="eastAsia" w:ascii="仿宋" w:eastAsia="仿宋"/>
          <w:color w:val="auto"/>
          <w:lang w:val="en-US" w:eastAsia="zh-CN"/>
        </w:rPr>
        <w:t>项目用地41754.51㎡，约62.63亩，总建筑面积</w:t>
      </w:r>
      <w:r>
        <w:rPr>
          <w:rFonts w:hint="eastAsia"/>
          <w:color w:val="auto"/>
          <w:lang w:val="en-US" w:eastAsia="zh-CN"/>
        </w:rPr>
        <w:t>43957.00</w:t>
      </w:r>
      <w:r>
        <w:rPr>
          <w:rFonts w:hint="eastAsia" w:ascii="仿宋" w:eastAsia="仿宋"/>
          <w:color w:val="auto"/>
          <w:lang w:val="en-US" w:eastAsia="zh-CN"/>
        </w:rPr>
        <w:t>㎡，建筑占地面积</w:t>
      </w:r>
      <w:r>
        <w:rPr>
          <w:rFonts w:hint="eastAsia"/>
          <w:color w:val="auto"/>
          <w:lang w:val="en-US" w:eastAsia="zh-CN"/>
        </w:rPr>
        <w:t>15838.72</w:t>
      </w:r>
      <w:r>
        <w:rPr>
          <w:rFonts w:hint="eastAsia" w:ascii="仿宋" w:eastAsia="仿宋"/>
          <w:color w:val="auto"/>
          <w:lang w:val="en-US" w:eastAsia="zh-CN"/>
        </w:rPr>
        <w:t>㎡，计容面积</w:t>
      </w:r>
      <w:r>
        <w:rPr>
          <w:rFonts w:hint="eastAsia"/>
          <w:color w:val="auto"/>
          <w:lang w:val="en-US" w:eastAsia="zh-CN"/>
        </w:rPr>
        <w:t>42921.04</w:t>
      </w:r>
      <w:r>
        <w:rPr>
          <w:rFonts w:hint="eastAsia" w:ascii="仿宋" w:eastAsia="仿宋"/>
          <w:color w:val="auto"/>
          <w:lang w:val="en-US" w:eastAsia="zh-CN"/>
        </w:rPr>
        <w:t>㎡，容积率</w:t>
      </w:r>
      <w:r>
        <w:rPr>
          <w:rFonts w:hint="eastAsia"/>
          <w:color w:val="auto"/>
          <w:lang w:val="en-US" w:eastAsia="zh-CN"/>
        </w:rPr>
        <w:t>1.03</w:t>
      </w:r>
      <w:r>
        <w:rPr>
          <w:rFonts w:hint="eastAsia" w:ascii="仿宋" w:eastAsia="仿宋"/>
          <w:color w:val="auto"/>
          <w:lang w:val="en-US" w:eastAsia="zh-CN"/>
        </w:rPr>
        <w:t>，建筑密度</w:t>
      </w:r>
      <w:r>
        <w:rPr>
          <w:rFonts w:hint="eastAsia"/>
          <w:color w:val="auto"/>
          <w:lang w:val="en-US" w:eastAsia="zh-CN"/>
        </w:rPr>
        <w:t>37.93</w:t>
      </w:r>
      <w:r>
        <w:rPr>
          <w:rFonts w:hint="eastAsia" w:ascii="仿宋" w:eastAsia="仿宋"/>
          <w:color w:val="auto"/>
          <w:lang w:val="en-US" w:eastAsia="zh-CN"/>
        </w:rPr>
        <w:t>%，绿化率12.9%。</w:t>
      </w:r>
    </w:p>
    <w:p>
      <w:pPr>
        <w:bidi w:val="0"/>
        <w:rPr>
          <w:rFonts w:hint="default"/>
          <w:color w:val="auto"/>
          <w:lang w:val="en-US" w:eastAsia="zh-CN"/>
        </w:rPr>
      </w:pPr>
      <w:r>
        <w:rPr>
          <w:rFonts w:hint="default"/>
          <w:color w:val="auto"/>
          <w:lang w:val="en-US" w:eastAsia="zh-CN"/>
        </w:rPr>
        <w:t>本次建设内容：3栋三层标准厂房和1栋二层标准厂房</w:t>
      </w:r>
      <w:r>
        <w:rPr>
          <w:rFonts w:hint="eastAsia"/>
          <w:color w:val="auto"/>
          <w:lang w:val="en-US" w:eastAsia="zh-CN"/>
        </w:rPr>
        <w:t>37626.76</w:t>
      </w:r>
      <w:r>
        <w:rPr>
          <w:rFonts w:hint="default"/>
          <w:color w:val="auto"/>
          <w:lang w:val="en-US" w:eastAsia="zh-CN"/>
        </w:rPr>
        <w:t>㎡，1栋二层</w:t>
      </w:r>
      <w:r>
        <w:rPr>
          <w:rFonts w:hint="eastAsia" w:ascii="仿宋" w:eastAsia="仿宋"/>
          <w:color w:val="auto"/>
          <w:lang w:val="en-US" w:eastAsia="zh-CN"/>
        </w:rPr>
        <w:t>办公楼2409.00</w:t>
      </w:r>
      <w:r>
        <w:rPr>
          <w:rFonts w:hint="default"/>
          <w:color w:val="auto"/>
          <w:lang w:val="en-US" w:eastAsia="zh-CN"/>
        </w:rPr>
        <w:t>㎡，1栋三层的员工宿舍楼</w:t>
      </w:r>
      <w:r>
        <w:rPr>
          <w:rFonts w:hint="eastAsia" w:ascii="仿宋" w:eastAsia="仿宋"/>
          <w:color w:val="auto"/>
          <w:lang w:val="en-US" w:eastAsia="zh-CN"/>
        </w:rPr>
        <w:t>3683.24</w:t>
      </w:r>
      <w:r>
        <w:rPr>
          <w:rFonts w:hint="default"/>
          <w:color w:val="auto"/>
          <w:lang w:val="en-US" w:eastAsia="zh-CN"/>
        </w:rPr>
        <w:t>㎡，门卫</w:t>
      </w:r>
      <w:r>
        <w:rPr>
          <w:rFonts w:hint="eastAsia" w:ascii="仿宋" w:eastAsia="仿宋"/>
          <w:color w:val="auto"/>
          <w:lang w:val="en-US" w:eastAsia="zh-CN"/>
        </w:rPr>
        <w:t>48</w:t>
      </w:r>
      <w:r>
        <w:rPr>
          <w:rFonts w:hint="default"/>
          <w:color w:val="auto"/>
          <w:lang w:val="en-US" w:eastAsia="zh-CN"/>
        </w:rPr>
        <w:t>.00㎡，</w:t>
      </w:r>
      <w:r>
        <w:rPr>
          <w:rFonts w:hint="eastAsia" w:ascii="仿宋" w:eastAsia="仿宋"/>
          <w:color w:val="auto"/>
          <w:lang w:val="en-US" w:eastAsia="zh-CN"/>
        </w:rPr>
        <w:t>设备用房</w:t>
      </w:r>
      <w:r>
        <w:rPr>
          <w:rFonts w:hint="eastAsia"/>
          <w:color w:val="auto"/>
          <w:lang w:val="en-US" w:eastAsia="zh-CN"/>
        </w:rPr>
        <w:t>190.00</w:t>
      </w:r>
      <w:r>
        <w:rPr>
          <w:rFonts w:hint="default"/>
          <w:color w:val="auto"/>
          <w:lang w:val="en-US" w:eastAsia="zh-CN"/>
        </w:rPr>
        <w:t>㎡</w:t>
      </w:r>
      <w:r>
        <w:rPr>
          <w:rFonts w:hint="eastAsia" w:ascii="仿宋" w:eastAsia="仿宋"/>
          <w:color w:val="auto"/>
          <w:lang w:val="en-US" w:eastAsia="zh-CN"/>
        </w:rPr>
        <w:t>，</w:t>
      </w:r>
      <w:r>
        <w:rPr>
          <w:rFonts w:hint="default"/>
          <w:color w:val="auto"/>
          <w:lang w:val="en-US" w:eastAsia="zh-CN"/>
        </w:rPr>
        <w:t>停车位</w:t>
      </w:r>
      <w:r>
        <w:rPr>
          <w:rFonts w:hint="eastAsia"/>
          <w:color w:val="auto"/>
          <w:lang w:val="en-US" w:eastAsia="zh-CN"/>
        </w:rPr>
        <w:t>101</w:t>
      </w:r>
      <w:r>
        <w:rPr>
          <w:rFonts w:hint="default"/>
          <w:color w:val="auto"/>
          <w:lang w:val="en-US" w:eastAsia="zh-CN"/>
        </w:rPr>
        <w:t>个，其中小车位</w:t>
      </w:r>
      <w:r>
        <w:rPr>
          <w:rFonts w:hint="eastAsia"/>
          <w:color w:val="auto"/>
          <w:lang w:val="en-US" w:eastAsia="zh-CN"/>
        </w:rPr>
        <w:t>66</w:t>
      </w:r>
      <w:r>
        <w:rPr>
          <w:rFonts w:hint="default"/>
          <w:color w:val="auto"/>
          <w:lang w:val="en-US" w:eastAsia="zh-CN"/>
        </w:rPr>
        <w:t>个（含2个无障碍车位和25个充电桩车位），货车车位</w:t>
      </w:r>
      <w:r>
        <w:rPr>
          <w:rFonts w:hint="eastAsia"/>
          <w:color w:val="auto"/>
          <w:lang w:val="en-US" w:eastAsia="zh-CN"/>
        </w:rPr>
        <w:t>12</w:t>
      </w:r>
      <w:r>
        <w:rPr>
          <w:rFonts w:hint="default"/>
          <w:color w:val="auto"/>
          <w:lang w:val="en-US" w:eastAsia="zh-CN"/>
        </w:rPr>
        <w:t>个，并配套建设给排水、供配电、消防工程、暖通、燃气、环卫设施和围墙等。</w:t>
      </w:r>
    </w:p>
    <w:p>
      <w:pPr>
        <w:bidi w:val="0"/>
        <w:rPr>
          <w:rFonts w:hint="default"/>
          <w:color w:val="auto"/>
          <w:lang w:val="en-US" w:eastAsia="zh-CN"/>
        </w:rPr>
      </w:pPr>
      <w:r>
        <w:rPr>
          <w:rFonts w:hint="default"/>
          <w:color w:val="auto"/>
          <w:lang w:val="en-US" w:eastAsia="zh-CN"/>
        </w:rPr>
        <w:t>本项目为框架结构，建筑设计使用年限为50年，耐火等级均为二级，各建筑屋面防水等级为</w:t>
      </w:r>
      <w:r>
        <w:rPr>
          <w:rFonts w:hint="eastAsia"/>
          <w:color w:val="auto"/>
          <w:lang w:val="en-US" w:eastAsia="zh-CN"/>
        </w:rPr>
        <w:t>一级</w:t>
      </w:r>
      <w:r>
        <w:rPr>
          <w:rFonts w:hint="default"/>
          <w:color w:val="auto"/>
          <w:lang w:val="en-US" w:eastAsia="zh-CN"/>
        </w:rPr>
        <w:t>，抗震设防烈度为6度（按7度采取抗震设防措施）。</w:t>
      </w:r>
    </w:p>
    <w:p>
      <w:pPr>
        <w:bidi w:val="0"/>
        <w:rPr>
          <w:rFonts w:hint="default"/>
          <w:color w:val="auto"/>
          <w:lang w:val="en-US" w:eastAsia="zh-CN"/>
        </w:rPr>
      </w:pPr>
      <w:r>
        <w:rPr>
          <w:rFonts w:hint="default"/>
          <w:color w:val="auto"/>
          <w:lang w:val="en-US" w:eastAsia="zh-CN"/>
        </w:rPr>
        <w:t>项目包括：土石方工程、桩基工程、钢筋及混凝土工程、砌体工程、屋面及防水工程、保温隔热工程、室内外装修工程、门窗工程、10KV中心变配电工程、水电安装工程、消防工程、弱电工程、暖通工程、室外园林景观道路附属工程、室外水电工程及工程相关的实体措施工程，具体详概算编制清单。</w:t>
      </w:r>
    </w:p>
    <w:p>
      <w:pPr>
        <w:pStyle w:val="3"/>
        <w:bidi w:val="0"/>
        <w:rPr>
          <w:rFonts w:hint="default"/>
          <w:color w:val="auto"/>
          <w:lang w:val="en-US" w:eastAsia="zh-CN"/>
        </w:rPr>
      </w:pPr>
      <w:r>
        <w:rPr>
          <w:rFonts w:hint="default"/>
          <w:color w:val="auto"/>
          <w:lang w:val="en-US" w:eastAsia="zh-CN"/>
        </w:rPr>
        <w:t>编制依据</w:t>
      </w:r>
    </w:p>
    <w:p>
      <w:pPr>
        <w:bidi w:val="0"/>
        <w:rPr>
          <w:rFonts w:hint="default"/>
          <w:color w:val="auto"/>
          <w:lang w:val="en-US" w:eastAsia="zh-CN"/>
        </w:rPr>
      </w:pPr>
      <w:r>
        <w:rPr>
          <w:rFonts w:hint="default"/>
          <w:color w:val="auto"/>
          <w:lang w:val="en-US" w:eastAsia="zh-CN"/>
        </w:rPr>
        <w:t>1、概算设计图纸及设计方案，可行性研究报告；</w:t>
      </w:r>
    </w:p>
    <w:p>
      <w:pPr>
        <w:bidi w:val="0"/>
        <w:rPr>
          <w:rFonts w:hint="default"/>
          <w:color w:val="auto"/>
          <w:lang w:val="en-US" w:eastAsia="zh-CN"/>
        </w:rPr>
      </w:pPr>
      <w:r>
        <w:rPr>
          <w:rFonts w:hint="default"/>
          <w:color w:val="auto"/>
          <w:lang w:val="en-US" w:eastAsia="zh-CN"/>
        </w:rPr>
        <w:t>2、中华人民共和国建筑法；</w:t>
      </w:r>
    </w:p>
    <w:p>
      <w:pPr>
        <w:bidi w:val="0"/>
        <w:rPr>
          <w:rFonts w:hint="eastAsia"/>
          <w:color w:val="auto"/>
          <w:lang w:val="en-US" w:eastAsia="zh-CN"/>
        </w:rPr>
      </w:pPr>
      <w:r>
        <w:rPr>
          <w:rFonts w:hint="eastAsia"/>
          <w:color w:val="auto"/>
          <w:lang w:val="en-US" w:eastAsia="zh-CN"/>
        </w:rPr>
        <w:t>3、湘建价[2020]56号湖南省住房和城乡建设厅关于印发2020《湖南省建设工程计价办法》及《湖南省建设工程消耗量标准》的通知；</w:t>
      </w:r>
    </w:p>
    <w:p>
      <w:pPr>
        <w:bidi w:val="0"/>
        <w:rPr>
          <w:rFonts w:hint="eastAsia"/>
          <w:color w:val="auto"/>
          <w:lang w:val="en-US" w:eastAsia="zh-CN"/>
        </w:rPr>
      </w:pPr>
      <w:r>
        <w:rPr>
          <w:rFonts w:hint="eastAsia"/>
          <w:color w:val="auto"/>
          <w:lang w:val="en-US" w:eastAsia="zh-CN"/>
        </w:rPr>
        <w:t>4、2020年《湖南省房屋建筑与装饰工程消耗量标准》、2020年《湖南省安装工程消耗量标准》、2020年《湖南省市政工程消耗量标准》、2020年《湖南省园林绿化工程消耗量标准》、2021年《2021湖南省房屋改造加固及维修消耗量标准》、2020年《湖南省市政排水设施维护工程消耗量标准》等现行文件规范；</w:t>
      </w:r>
    </w:p>
    <w:p>
      <w:pPr>
        <w:bidi w:val="0"/>
        <w:rPr>
          <w:rFonts w:hint="eastAsia"/>
          <w:color w:val="auto"/>
        </w:rPr>
      </w:pPr>
      <w:r>
        <w:rPr>
          <w:rFonts w:hint="eastAsia"/>
          <w:color w:val="auto"/>
          <w:lang w:val="en-US" w:eastAsia="zh-CN"/>
        </w:rPr>
        <w:t>5、</w:t>
      </w:r>
      <w:r>
        <w:rPr>
          <w:rFonts w:hint="eastAsia"/>
          <w:color w:val="auto"/>
        </w:rPr>
        <w:t>湘建价</w:t>
      </w:r>
      <w:r>
        <w:rPr>
          <w:rFonts w:hint="eastAsia"/>
          <w:color w:val="auto"/>
          <w:lang w:val="en-US" w:eastAsia="zh-CN"/>
        </w:rPr>
        <w:t>〔</w:t>
      </w:r>
      <w:r>
        <w:rPr>
          <w:rFonts w:hint="eastAsia"/>
          <w:color w:val="auto"/>
        </w:rPr>
        <w:t>2022</w:t>
      </w:r>
      <w:r>
        <w:rPr>
          <w:rFonts w:hint="eastAsia"/>
          <w:color w:val="auto"/>
          <w:lang w:val="en-US" w:eastAsia="zh-CN"/>
        </w:rPr>
        <w:t>〕</w:t>
      </w:r>
      <w:r>
        <w:rPr>
          <w:rFonts w:hint="eastAsia"/>
          <w:color w:val="auto"/>
        </w:rPr>
        <w:t>146号《湖南省住房和城乡建设厅关于发布《湖南省建设工程计价依据动态调整汇编（2022年度第一期）》的通知》</w:t>
      </w:r>
      <w:r>
        <w:rPr>
          <w:rFonts w:hint="eastAsia"/>
          <w:color w:val="auto"/>
          <w:lang w:eastAsia="zh-CN"/>
        </w:rPr>
        <w:t>。</w:t>
      </w:r>
    </w:p>
    <w:p>
      <w:pPr>
        <w:bidi w:val="0"/>
        <w:rPr>
          <w:rFonts w:hint="eastAsia"/>
          <w:color w:val="auto"/>
        </w:rPr>
      </w:pPr>
      <w:r>
        <w:rPr>
          <w:rFonts w:hint="eastAsia"/>
          <w:color w:val="auto"/>
          <w:lang w:val="en-US" w:eastAsia="zh-CN"/>
        </w:rPr>
        <w:t>6</w:t>
      </w:r>
      <w:r>
        <w:rPr>
          <w:rFonts w:hint="eastAsia"/>
          <w:color w:val="auto"/>
        </w:rPr>
        <w:t>、湘建价[2019]47号《关于调整建设工程销项税额税率和材料价格综合税率计费标准的通知》。</w:t>
      </w:r>
    </w:p>
    <w:p>
      <w:pPr>
        <w:bidi w:val="0"/>
        <w:rPr>
          <w:rFonts w:hint="eastAsia"/>
          <w:color w:val="auto"/>
          <w:lang w:val="en-US" w:eastAsia="zh-CN"/>
        </w:rPr>
      </w:pPr>
      <w:r>
        <w:rPr>
          <w:rFonts w:hint="eastAsia"/>
          <w:color w:val="auto"/>
          <w:lang w:val="en-US" w:eastAsia="zh-CN"/>
        </w:rPr>
        <w:t>7、主材价格按2023年10月份岳阳市建设工程造价管理站发布的预算价执行，没有预算价的按最新市场价执行；</w:t>
      </w:r>
    </w:p>
    <w:p>
      <w:pPr>
        <w:bidi w:val="0"/>
        <w:rPr>
          <w:rFonts w:hint="default"/>
          <w:color w:val="auto"/>
          <w:lang w:val="en-US" w:eastAsia="zh-CN"/>
        </w:rPr>
      </w:pPr>
      <w:r>
        <w:rPr>
          <w:rFonts w:hint="eastAsia"/>
          <w:color w:val="auto"/>
          <w:lang w:val="en-US" w:eastAsia="zh-CN"/>
        </w:rPr>
        <w:t>8</w:t>
      </w:r>
      <w:r>
        <w:rPr>
          <w:rFonts w:hint="default"/>
          <w:color w:val="auto"/>
          <w:lang w:val="en-US" w:eastAsia="zh-CN"/>
        </w:rPr>
        <w:t>、湖南省建设工程造价管理办法；</w:t>
      </w:r>
    </w:p>
    <w:p>
      <w:pPr>
        <w:bidi w:val="0"/>
        <w:rPr>
          <w:rFonts w:hint="default"/>
          <w:color w:val="auto"/>
          <w:lang w:val="en-US" w:eastAsia="zh-CN"/>
        </w:rPr>
      </w:pPr>
      <w:r>
        <w:rPr>
          <w:rFonts w:hint="eastAsia"/>
          <w:color w:val="auto"/>
          <w:lang w:val="en-US" w:eastAsia="zh-CN"/>
        </w:rPr>
        <w:t>9</w:t>
      </w:r>
      <w:r>
        <w:rPr>
          <w:rFonts w:hint="default"/>
          <w:color w:val="auto"/>
          <w:lang w:val="en-US" w:eastAsia="zh-CN"/>
        </w:rPr>
        <w:t>、湖南省建设工程造价咨询执业管理办法；</w:t>
      </w:r>
    </w:p>
    <w:p>
      <w:pPr>
        <w:bidi w:val="0"/>
        <w:rPr>
          <w:rFonts w:hint="default"/>
          <w:color w:val="auto"/>
          <w:lang w:val="en-US" w:eastAsia="zh-CN"/>
        </w:rPr>
      </w:pPr>
      <w:r>
        <w:rPr>
          <w:rFonts w:hint="eastAsia"/>
          <w:color w:val="auto"/>
          <w:lang w:val="en-US" w:eastAsia="zh-CN"/>
        </w:rPr>
        <w:t>10</w:t>
      </w:r>
      <w:r>
        <w:rPr>
          <w:rFonts w:hint="default"/>
          <w:color w:val="auto"/>
          <w:lang w:val="en-US" w:eastAsia="zh-CN"/>
        </w:rPr>
        <w:t>、住建部《建筑工程可行性研究投资概算编制办法》；</w:t>
      </w:r>
    </w:p>
    <w:p>
      <w:pPr>
        <w:bidi w:val="0"/>
        <w:rPr>
          <w:rFonts w:hint="default"/>
          <w:color w:val="auto"/>
          <w:lang w:val="en-US" w:eastAsia="zh-CN"/>
        </w:rPr>
      </w:pPr>
      <w:r>
        <w:rPr>
          <w:rFonts w:hint="default"/>
          <w:color w:val="auto"/>
          <w:lang w:val="en-US" w:eastAsia="zh-CN"/>
        </w:rPr>
        <w:t>1</w:t>
      </w:r>
      <w:r>
        <w:rPr>
          <w:rFonts w:hint="eastAsia"/>
          <w:color w:val="auto"/>
          <w:lang w:val="en-US" w:eastAsia="zh-CN"/>
        </w:rPr>
        <w:t>1</w:t>
      </w:r>
      <w:r>
        <w:rPr>
          <w:rFonts w:hint="default"/>
          <w:color w:val="auto"/>
          <w:lang w:val="en-US" w:eastAsia="zh-CN"/>
        </w:rPr>
        <w:t>、其他现行国家及湖南省有关其他费用计取的文件规定；</w:t>
      </w:r>
    </w:p>
    <w:p>
      <w:pPr>
        <w:bidi w:val="0"/>
        <w:rPr>
          <w:rFonts w:hint="default"/>
          <w:color w:val="auto"/>
          <w:lang w:val="en-US" w:eastAsia="zh-CN"/>
        </w:rPr>
      </w:pPr>
      <w:r>
        <w:rPr>
          <w:rFonts w:hint="default"/>
          <w:color w:val="auto"/>
          <w:lang w:val="en-US" w:eastAsia="zh-CN"/>
        </w:rPr>
        <w:t>1</w:t>
      </w:r>
      <w:r>
        <w:rPr>
          <w:rFonts w:hint="eastAsia"/>
          <w:color w:val="auto"/>
          <w:lang w:val="en-US" w:eastAsia="zh-CN"/>
        </w:rPr>
        <w:t>2</w:t>
      </w:r>
      <w:r>
        <w:rPr>
          <w:rFonts w:hint="default"/>
          <w:color w:val="auto"/>
          <w:lang w:val="en-US" w:eastAsia="zh-CN"/>
        </w:rPr>
        <w:t>、其他费用概算：依据国家和地方的有关规定计算，详见其他费用概算表，具体如下：</w:t>
      </w:r>
    </w:p>
    <w:p>
      <w:pPr>
        <w:bidi w:val="0"/>
        <w:rPr>
          <w:rFonts w:hint="default"/>
          <w:color w:val="auto"/>
          <w:lang w:val="en-US" w:eastAsia="zh-CN"/>
        </w:rPr>
      </w:pPr>
      <w:r>
        <w:rPr>
          <w:rFonts w:hint="default"/>
          <w:color w:val="auto"/>
          <w:lang w:val="en-US" w:eastAsia="zh-CN"/>
        </w:rPr>
        <w:t>（1）建设单位管理费：根据《基本建设项目建设成本管理规定》财建（2016）504号规定计取；</w:t>
      </w:r>
    </w:p>
    <w:p>
      <w:pPr>
        <w:bidi w:val="0"/>
        <w:rPr>
          <w:rFonts w:hint="default"/>
          <w:color w:val="auto"/>
          <w:lang w:val="en-US" w:eastAsia="zh-CN"/>
        </w:rPr>
      </w:pPr>
      <w:r>
        <w:rPr>
          <w:rFonts w:hint="default"/>
          <w:color w:val="auto"/>
          <w:lang w:val="en-US" w:eastAsia="zh-CN"/>
        </w:rPr>
        <w:t>（2）工程监理费：根据发改价格（2007）670号文件规定计取；</w:t>
      </w:r>
    </w:p>
    <w:p>
      <w:pPr>
        <w:bidi w:val="0"/>
        <w:rPr>
          <w:rFonts w:hint="default"/>
          <w:color w:val="auto"/>
          <w:lang w:val="en-US" w:eastAsia="zh-CN"/>
        </w:rPr>
      </w:pPr>
      <w:r>
        <w:rPr>
          <w:rFonts w:hint="default"/>
          <w:color w:val="auto"/>
          <w:lang w:val="en-US" w:eastAsia="zh-CN"/>
        </w:rPr>
        <w:t>（3）概算编制审核、工程量清单及清单计价编制费、结算审查费：根据湘建价协(2016)25号、湘价服〔2013〕131号标准计取；</w:t>
      </w:r>
    </w:p>
    <w:p>
      <w:pPr>
        <w:bidi w:val="0"/>
        <w:rPr>
          <w:rFonts w:hint="default"/>
          <w:color w:val="auto"/>
          <w:lang w:val="en-US" w:eastAsia="zh-CN"/>
        </w:rPr>
      </w:pPr>
      <w:r>
        <w:rPr>
          <w:rFonts w:hint="default"/>
          <w:color w:val="auto"/>
          <w:lang w:val="en-US" w:eastAsia="zh-CN"/>
        </w:rPr>
        <w:t>（4）工程设计费：按计价格（2002）10号文规定计取；</w:t>
      </w:r>
    </w:p>
    <w:p>
      <w:pPr>
        <w:bidi w:val="0"/>
        <w:rPr>
          <w:rFonts w:hint="default"/>
          <w:color w:val="auto"/>
          <w:lang w:val="en-US" w:eastAsia="zh-CN"/>
        </w:rPr>
      </w:pPr>
      <w:r>
        <w:rPr>
          <w:rFonts w:hint="default"/>
          <w:color w:val="auto"/>
          <w:lang w:val="en-US" w:eastAsia="zh-CN"/>
        </w:rPr>
        <w:t>（5）工程勘察费：按土层单价140元/米，岩层、卵石层170元/米，工程勘察费=结算勘测总孔深*相应综合单价计取；</w:t>
      </w:r>
    </w:p>
    <w:p>
      <w:pPr>
        <w:bidi w:val="0"/>
        <w:rPr>
          <w:rFonts w:hint="default"/>
          <w:color w:val="auto"/>
          <w:lang w:val="en-US" w:eastAsia="zh-CN"/>
        </w:rPr>
      </w:pPr>
      <w:r>
        <w:rPr>
          <w:rFonts w:hint="default"/>
          <w:color w:val="auto"/>
          <w:lang w:val="en-US" w:eastAsia="zh-CN"/>
        </w:rPr>
        <w:t>（6）招投标代理费：按国家发改委计价（2002）1980号文件规定计取；可行性研究报告费：根据计价格（1999）1283、（2000）湘价房</w:t>
      </w:r>
      <w:r>
        <w:rPr>
          <w:rFonts w:hint="eastAsia"/>
          <w:color w:val="auto"/>
          <w:lang w:val="en-US" w:eastAsia="zh-CN"/>
        </w:rPr>
        <w:t>；</w:t>
      </w:r>
    </w:p>
    <w:p>
      <w:pPr>
        <w:bidi w:val="0"/>
        <w:rPr>
          <w:rFonts w:hint="default"/>
          <w:color w:val="auto"/>
          <w:lang w:val="en-US" w:eastAsia="zh-CN"/>
        </w:rPr>
      </w:pPr>
      <w:r>
        <w:rPr>
          <w:rFonts w:hint="default"/>
          <w:color w:val="auto"/>
          <w:lang w:val="en-US" w:eastAsia="zh-CN"/>
        </w:rPr>
        <w:t>（7）第95号、湘价服(2013)131文结合市场价计取；</w:t>
      </w:r>
    </w:p>
    <w:p>
      <w:pPr>
        <w:bidi w:val="0"/>
        <w:rPr>
          <w:rFonts w:hint="default"/>
          <w:color w:val="auto"/>
          <w:lang w:val="en-US" w:eastAsia="zh-CN"/>
        </w:rPr>
      </w:pPr>
      <w:r>
        <w:rPr>
          <w:rFonts w:hint="default"/>
          <w:color w:val="auto"/>
          <w:lang w:val="en-US" w:eastAsia="zh-CN"/>
        </w:rPr>
        <w:t>（8）全过程造价咨询服务费：根据湘建价协(2016)25号标准的计取；</w:t>
      </w:r>
    </w:p>
    <w:p>
      <w:pPr>
        <w:bidi w:val="0"/>
        <w:rPr>
          <w:rFonts w:hint="default"/>
          <w:color w:val="auto"/>
          <w:lang w:val="en-US" w:eastAsia="zh-CN"/>
        </w:rPr>
      </w:pPr>
      <w:r>
        <w:rPr>
          <w:rFonts w:hint="default"/>
          <w:color w:val="auto"/>
          <w:lang w:val="en-US" w:eastAsia="zh-CN"/>
        </w:rPr>
        <w:t>建设工程交易服务费：根据湘发改价服（2019）366号计取；</w:t>
      </w:r>
    </w:p>
    <w:p>
      <w:pPr>
        <w:bidi w:val="0"/>
        <w:rPr>
          <w:rFonts w:hint="default"/>
          <w:color w:val="auto"/>
          <w:lang w:val="en-US" w:eastAsia="zh-CN"/>
        </w:rPr>
      </w:pPr>
      <w:r>
        <w:rPr>
          <w:rFonts w:hint="default"/>
          <w:color w:val="auto"/>
          <w:lang w:val="en-US" w:eastAsia="zh-CN"/>
        </w:rPr>
        <w:t>（9）水土保持方案服务费用：根据《湖南省物价局、湖南省水利厅关于公布水利系统服务性收费项目和标准的通知》（湘价服〔2013〕134号结合市场价计取；</w:t>
      </w:r>
    </w:p>
    <w:p>
      <w:pPr>
        <w:bidi w:val="0"/>
        <w:rPr>
          <w:rFonts w:hint="default"/>
          <w:color w:val="auto"/>
          <w:lang w:val="en-US" w:eastAsia="zh-CN"/>
        </w:rPr>
      </w:pPr>
      <w:r>
        <w:rPr>
          <w:rFonts w:hint="default"/>
          <w:color w:val="auto"/>
          <w:lang w:val="en-US" w:eastAsia="zh-CN"/>
        </w:rPr>
        <w:t>（10）规范修改方案编制费用：根据绥政办发（2019）20号、32号文以及（2020）1号文计取；</w:t>
      </w:r>
    </w:p>
    <w:p>
      <w:pPr>
        <w:bidi w:val="0"/>
        <w:rPr>
          <w:rFonts w:hint="default"/>
          <w:color w:val="auto"/>
          <w:lang w:val="en-US" w:eastAsia="zh-CN"/>
        </w:rPr>
      </w:pPr>
      <w:r>
        <w:rPr>
          <w:rFonts w:hint="default"/>
          <w:color w:val="auto"/>
          <w:lang w:val="en-US" w:eastAsia="zh-CN"/>
        </w:rPr>
        <w:t>（11）城市基础设施配套及报建费：根据100元/m2标准估算；</w:t>
      </w:r>
    </w:p>
    <w:p>
      <w:pPr>
        <w:bidi w:val="0"/>
        <w:rPr>
          <w:rFonts w:hint="default"/>
          <w:color w:val="auto"/>
          <w:lang w:val="en-US" w:eastAsia="zh-CN"/>
        </w:rPr>
      </w:pPr>
      <w:r>
        <w:rPr>
          <w:rFonts w:hint="default"/>
          <w:color w:val="auto"/>
          <w:lang w:val="en-US" w:eastAsia="zh-CN"/>
        </w:rPr>
        <w:t>（12）工程质量检测费（含桩基、幕墙工程）：根据湘质安协字(2016)19号文计取。</w:t>
      </w:r>
    </w:p>
    <w:p>
      <w:pPr>
        <w:bidi w:val="0"/>
        <w:rPr>
          <w:rFonts w:hint="default"/>
          <w:color w:val="auto"/>
          <w:lang w:val="en-US" w:eastAsia="zh-CN"/>
        </w:rPr>
      </w:pPr>
      <w:r>
        <w:rPr>
          <w:rFonts w:hint="default"/>
          <w:color w:val="auto"/>
          <w:lang w:val="en-US" w:eastAsia="zh-CN"/>
        </w:rPr>
        <w:t>1</w:t>
      </w:r>
      <w:r>
        <w:rPr>
          <w:rFonts w:hint="eastAsia"/>
          <w:color w:val="auto"/>
          <w:lang w:val="en-US" w:eastAsia="zh-CN"/>
        </w:rPr>
        <w:t>2</w:t>
      </w:r>
      <w:r>
        <w:rPr>
          <w:rFonts w:hint="default"/>
          <w:color w:val="auto"/>
          <w:lang w:val="en-US" w:eastAsia="zh-CN"/>
        </w:rPr>
        <w:t>.预备费根据湘建价(2014)113号文(计费基数按工程建设费和工程其他费之和扣除土地拆迁费和管线迁改费）为计费基数，基本预备费和价差预备费分别按计费基数的5%计取。</w:t>
      </w:r>
    </w:p>
    <w:p>
      <w:pPr>
        <w:bidi w:val="0"/>
        <w:rPr>
          <w:rFonts w:hint="eastAsia"/>
          <w:color w:val="auto"/>
          <w:lang w:val="en-US" w:eastAsia="zh-CN"/>
        </w:rPr>
      </w:pPr>
      <w:r>
        <w:rPr>
          <w:rFonts w:hint="eastAsia"/>
          <w:color w:val="auto"/>
          <w:lang w:val="en-US" w:eastAsia="zh-CN"/>
        </w:rPr>
        <w:t>13.本概算中建设期利息、铺底流动资金同可研估算计取。</w:t>
      </w:r>
    </w:p>
    <w:p>
      <w:pPr>
        <w:pStyle w:val="3"/>
        <w:bidi w:val="0"/>
        <w:rPr>
          <w:rFonts w:hint="default"/>
          <w:color w:val="auto"/>
          <w:lang w:val="en-US" w:eastAsia="zh-CN"/>
        </w:rPr>
      </w:pPr>
      <w:r>
        <w:rPr>
          <w:rFonts w:hint="default"/>
          <w:color w:val="auto"/>
          <w:lang w:val="en-US" w:eastAsia="zh-CN"/>
        </w:rPr>
        <w:t>投资概算</w:t>
      </w:r>
    </w:p>
    <w:p>
      <w:pPr>
        <w:bidi w:val="0"/>
        <w:rPr>
          <w:rFonts w:hint="default"/>
          <w:color w:val="auto"/>
          <w:lang w:val="en-US" w:eastAsia="zh-CN"/>
        </w:rPr>
      </w:pPr>
      <w:r>
        <w:rPr>
          <w:rFonts w:hint="default"/>
          <w:color w:val="auto"/>
          <w:lang w:val="en-US" w:eastAsia="zh-CN"/>
        </w:rPr>
        <w:t>本工程投资概算金额为</w:t>
      </w:r>
      <w:r>
        <w:rPr>
          <w:rFonts w:hint="eastAsia"/>
          <w:color w:val="auto"/>
          <w:lang w:val="en-US" w:eastAsia="zh-CN"/>
        </w:rPr>
        <w:t>18065.06</w:t>
      </w:r>
      <w:r>
        <w:rPr>
          <w:rFonts w:hint="default"/>
          <w:color w:val="auto"/>
          <w:lang w:val="en-US" w:eastAsia="zh-CN"/>
        </w:rPr>
        <w:t>万元，其中工程费用13</w:t>
      </w:r>
      <w:r>
        <w:rPr>
          <w:rFonts w:hint="eastAsia"/>
          <w:color w:val="auto"/>
          <w:lang w:val="en-US" w:eastAsia="zh-CN"/>
        </w:rPr>
        <w:t>395.94</w:t>
      </w:r>
      <w:r>
        <w:rPr>
          <w:rFonts w:hint="default"/>
          <w:color w:val="auto"/>
          <w:lang w:val="en-US" w:eastAsia="zh-CN"/>
        </w:rPr>
        <w:t>万元，工程建设其他费用2</w:t>
      </w:r>
      <w:r>
        <w:rPr>
          <w:rFonts w:hint="eastAsia"/>
          <w:color w:val="auto"/>
          <w:lang w:val="en-US" w:eastAsia="zh-CN"/>
        </w:rPr>
        <w:t>880.09</w:t>
      </w:r>
      <w:r>
        <w:rPr>
          <w:rFonts w:hint="default"/>
          <w:color w:val="auto"/>
          <w:lang w:val="en-US" w:eastAsia="zh-CN"/>
        </w:rPr>
        <w:t>万元，预备费</w:t>
      </w:r>
      <w:r>
        <w:rPr>
          <w:rFonts w:hint="eastAsia"/>
          <w:color w:val="auto"/>
          <w:lang w:val="en-US" w:eastAsia="zh-CN"/>
        </w:rPr>
        <w:t>1471.03</w:t>
      </w:r>
      <w:r>
        <w:rPr>
          <w:rFonts w:hint="default"/>
          <w:color w:val="auto"/>
          <w:lang w:val="en-US" w:eastAsia="zh-CN"/>
        </w:rPr>
        <w:t>万元。</w:t>
      </w:r>
    </w:p>
    <w:p>
      <w:pPr>
        <w:bidi w:val="0"/>
        <w:rPr>
          <w:rFonts w:hint="default"/>
          <w:color w:val="auto"/>
          <w:lang w:val="en-US" w:eastAsia="zh-CN"/>
        </w:rPr>
      </w:pPr>
    </w:p>
    <w:sectPr>
      <w:headerReference r:id="rId5" w:type="default"/>
      <w:footerReference r:id="rId6" w:type="default"/>
      <w:pgSz w:w="23811" w:h="16838" w:orient="landscape"/>
      <w:pgMar w:top="1440" w:right="1800" w:bottom="1440" w:left="1800" w:header="851" w:footer="992" w:gutter="0"/>
      <w:pgNumType w:fmt="decimal"/>
      <w:cols w:space="2400" w:num="2"/>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00"/>
      </w:pPr>
      <w:r>
        <w:separator/>
      </w:r>
    </w:p>
  </w:footnote>
  <w:footnote w:type="continuationSeparator" w:id="1">
    <w:p>
      <w:pPr>
        <w:spacing w:line="360" w:lineRule="auto"/>
        <w:ind w:firstLine="6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rPr>
        <w:sz w:val="28"/>
        <w:szCs w:val="28"/>
      </w:rPr>
    </w:pPr>
    <w:r>
      <w:rPr>
        <w:rFonts w:hint="eastAsia" w:ascii="Times New Roman" w:eastAsia="宋体"/>
        <w:sz w:val="28"/>
        <w:szCs w:val="28"/>
        <w:lang w:val="en-US" w:eastAsia="zh-CN"/>
      </w:rPr>
      <w:t>湖南汨罗高新技术产业开发区产城融合示范基地基础设施建设项目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CA20B8"/>
    <w:multiLevelType w:val="singleLevel"/>
    <w:tmpl w:val="C1CA20B8"/>
    <w:lvl w:ilvl="0" w:tentative="0">
      <w:start w:val="5"/>
      <w:numFmt w:val="decimal"/>
      <w:suff w:val="nothing"/>
      <w:lvlText w:val="（%1）"/>
      <w:lvlJc w:val="left"/>
    </w:lvl>
  </w:abstractNum>
  <w:abstractNum w:abstractNumId="1">
    <w:nsid w:val="E2208E10"/>
    <w:multiLevelType w:val="multilevel"/>
    <w:tmpl w:val="E2208E10"/>
    <w:lvl w:ilvl="0" w:tentative="0">
      <w:start w:val="1"/>
      <w:numFmt w:val="decimal"/>
      <w:pStyle w:val="2"/>
      <w:lvlText w:val="第%1章."/>
      <w:lvlJc w:val="left"/>
      <w:pPr>
        <w:tabs>
          <w:tab w:val="left" w:pos="0"/>
        </w:tabs>
        <w:ind w:left="0" w:leftChars="0" w:firstLine="0" w:firstLineChars="0"/>
      </w:pPr>
      <w:rPr>
        <w:rFonts w:hint="default"/>
        <w:sz w:val="44"/>
        <w:szCs w:val="44"/>
      </w:rPr>
    </w:lvl>
    <w:lvl w:ilvl="1" w:tentative="0">
      <w:start w:val="1"/>
      <w:numFmt w:val="decimal"/>
      <w:pStyle w:val="3"/>
      <w:lvlText w:val="%1.%2."/>
      <w:lvlJc w:val="left"/>
      <w:pPr>
        <w:tabs>
          <w:tab w:val="left" w:pos="0"/>
        </w:tabs>
        <w:ind w:left="0" w:leftChars="0" w:firstLine="0" w:firstLineChars="0"/>
      </w:pPr>
      <w:rPr>
        <w:rFonts w:hint="default" w:ascii="仿宋" w:hAnsi="仿宋" w:eastAsia="仿宋" w:cs="仿宋"/>
        <w:sz w:val="32"/>
        <w:szCs w:val="32"/>
      </w:rPr>
    </w:lvl>
    <w:lvl w:ilvl="2" w:tentative="0">
      <w:start w:val="1"/>
      <w:numFmt w:val="decimal"/>
      <w:pStyle w:val="4"/>
      <w:lvlText w:val="%1.%2.%3."/>
      <w:lvlJc w:val="left"/>
      <w:pPr>
        <w:tabs>
          <w:tab w:val="left" w:pos="0"/>
        </w:tabs>
        <w:ind w:left="0" w:leftChars="0" w:firstLine="0" w:firstLineChars="0"/>
      </w:pPr>
      <w:rPr>
        <w:rFonts w:hint="default" w:ascii="仿宋" w:hAnsi="仿宋" w:eastAsia="仿宋" w:cs="仿宋"/>
        <w:sz w:val="30"/>
        <w:szCs w:val="30"/>
      </w:rPr>
    </w:lvl>
    <w:lvl w:ilvl="3" w:tentative="0">
      <w:start w:val="1"/>
      <w:numFmt w:val="decimal"/>
      <w:pStyle w:val="5"/>
      <w:lvlText w:val="%1.%2.%3.%4."/>
      <w:lvlJc w:val="left"/>
      <w:pPr>
        <w:tabs>
          <w:tab w:val="left" w:pos="0"/>
        </w:tabs>
        <w:ind w:left="0" w:leftChars="0" w:firstLine="0" w:firstLineChars="0"/>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kZWVmYjczOTQ4MWI5ZjE3MGIxMTA3NmY3YTQ3OGIifQ=="/>
  </w:docVars>
  <w:rsids>
    <w:rsidRoot w:val="1EFD5ADE"/>
    <w:rsid w:val="001D6B7D"/>
    <w:rsid w:val="00443541"/>
    <w:rsid w:val="00484BC2"/>
    <w:rsid w:val="009A5857"/>
    <w:rsid w:val="00C71EEA"/>
    <w:rsid w:val="00DE1BE7"/>
    <w:rsid w:val="00DE5CB4"/>
    <w:rsid w:val="00F705B3"/>
    <w:rsid w:val="010333FC"/>
    <w:rsid w:val="01057174"/>
    <w:rsid w:val="01367737"/>
    <w:rsid w:val="014852B3"/>
    <w:rsid w:val="014F219D"/>
    <w:rsid w:val="017936BE"/>
    <w:rsid w:val="01D134FA"/>
    <w:rsid w:val="01E2535C"/>
    <w:rsid w:val="020309A6"/>
    <w:rsid w:val="02086B51"/>
    <w:rsid w:val="02151639"/>
    <w:rsid w:val="023A4794"/>
    <w:rsid w:val="0241177A"/>
    <w:rsid w:val="02A81B3F"/>
    <w:rsid w:val="02F1338E"/>
    <w:rsid w:val="032F672A"/>
    <w:rsid w:val="03345AEF"/>
    <w:rsid w:val="034614CD"/>
    <w:rsid w:val="03C145BB"/>
    <w:rsid w:val="03EB7DBF"/>
    <w:rsid w:val="040506A5"/>
    <w:rsid w:val="042A3A47"/>
    <w:rsid w:val="045A0087"/>
    <w:rsid w:val="046435CC"/>
    <w:rsid w:val="04826D2E"/>
    <w:rsid w:val="04AA2607"/>
    <w:rsid w:val="04AB05F1"/>
    <w:rsid w:val="04C904B8"/>
    <w:rsid w:val="04F512AE"/>
    <w:rsid w:val="0503104A"/>
    <w:rsid w:val="050E606F"/>
    <w:rsid w:val="05453FE3"/>
    <w:rsid w:val="056D7096"/>
    <w:rsid w:val="05C56038"/>
    <w:rsid w:val="05F93526"/>
    <w:rsid w:val="061C7280"/>
    <w:rsid w:val="063807F3"/>
    <w:rsid w:val="06952D48"/>
    <w:rsid w:val="06DF379F"/>
    <w:rsid w:val="072365A6"/>
    <w:rsid w:val="072E22E7"/>
    <w:rsid w:val="077539C2"/>
    <w:rsid w:val="079074C9"/>
    <w:rsid w:val="0798673A"/>
    <w:rsid w:val="0825634E"/>
    <w:rsid w:val="08314CF2"/>
    <w:rsid w:val="0842480A"/>
    <w:rsid w:val="08BB45BC"/>
    <w:rsid w:val="08C65095"/>
    <w:rsid w:val="08D12538"/>
    <w:rsid w:val="08F55D20"/>
    <w:rsid w:val="08FC70AE"/>
    <w:rsid w:val="090E6DE2"/>
    <w:rsid w:val="091A2F0B"/>
    <w:rsid w:val="095F03E9"/>
    <w:rsid w:val="0968495E"/>
    <w:rsid w:val="0969226A"/>
    <w:rsid w:val="098D7D07"/>
    <w:rsid w:val="098F1CD1"/>
    <w:rsid w:val="09D02788"/>
    <w:rsid w:val="0A1B17B6"/>
    <w:rsid w:val="0A232C00"/>
    <w:rsid w:val="0A314B36"/>
    <w:rsid w:val="0A410AF1"/>
    <w:rsid w:val="0A762E91"/>
    <w:rsid w:val="0A892BC4"/>
    <w:rsid w:val="0A9E5F43"/>
    <w:rsid w:val="0AF12F6A"/>
    <w:rsid w:val="0B2434BC"/>
    <w:rsid w:val="0B2E5519"/>
    <w:rsid w:val="0B6B3BBD"/>
    <w:rsid w:val="0B6D4294"/>
    <w:rsid w:val="0BCE5187"/>
    <w:rsid w:val="0BF26973"/>
    <w:rsid w:val="0C654F6B"/>
    <w:rsid w:val="0C670CE7"/>
    <w:rsid w:val="0C677C54"/>
    <w:rsid w:val="0C782A07"/>
    <w:rsid w:val="0C866C06"/>
    <w:rsid w:val="0CD12600"/>
    <w:rsid w:val="0CEC568C"/>
    <w:rsid w:val="0D374F6B"/>
    <w:rsid w:val="0D4E3C51"/>
    <w:rsid w:val="0D6F7998"/>
    <w:rsid w:val="0DD518F2"/>
    <w:rsid w:val="0E3C619F"/>
    <w:rsid w:val="0E5764D0"/>
    <w:rsid w:val="0E702AB2"/>
    <w:rsid w:val="0E803383"/>
    <w:rsid w:val="0EBC5CED"/>
    <w:rsid w:val="0EC1000E"/>
    <w:rsid w:val="0EC15FF0"/>
    <w:rsid w:val="0EE859DF"/>
    <w:rsid w:val="0EF2309A"/>
    <w:rsid w:val="0F0F5662"/>
    <w:rsid w:val="0F3A26DF"/>
    <w:rsid w:val="0F5D461F"/>
    <w:rsid w:val="0F6B0AEA"/>
    <w:rsid w:val="0FB75FE2"/>
    <w:rsid w:val="0FE96C30"/>
    <w:rsid w:val="10166A33"/>
    <w:rsid w:val="101B7E72"/>
    <w:rsid w:val="10234F21"/>
    <w:rsid w:val="105F76BB"/>
    <w:rsid w:val="10831E63"/>
    <w:rsid w:val="111171EE"/>
    <w:rsid w:val="11230F50"/>
    <w:rsid w:val="11234423"/>
    <w:rsid w:val="11286567"/>
    <w:rsid w:val="11673533"/>
    <w:rsid w:val="11676ED9"/>
    <w:rsid w:val="119105B0"/>
    <w:rsid w:val="119333A6"/>
    <w:rsid w:val="119C4598"/>
    <w:rsid w:val="119E5BD5"/>
    <w:rsid w:val="11BD75F7"/>
    <w:rsid w:val="11CF4CEB"/>
    <w:rsid w:val="12486223"/>
    <w:rsid w:val="12575356"/>
    <w:rsid w:val="125B6F43"/>
    <w:rsid w:val="125C6E10"/>
    <w:rsid w:val="12601D0D"/>
    <w:rsid w:val="129A0566"/>
    <w:rsid w:val="12A3059B"/>
    <w:rsid w:val="12AA247E"/>
    <w:rsid w:val="12AD0C5A"/>
    <w:rsid w:val="12D24386"/>
    <w:rsid w:val="12DB7D35"/>
    <w:rsid w:val="130F3BC9"/>
    <w:rsid w:val="13344EDC"/>
    <w:rsid w:val="13367A4C"/>
    <w:rsid w:val="138D3FA2"/>
    <w:rsid w:val="13A26AA4"/>
    <w:rsid w:val="14237BE5"/>
    <w:rsid w:val="142B148C"/>
    <w:rsid w:val="14346EDC"/>
    <w:rsid w:val="146B2919"/>
    <w:rsid w:val="147C7AB5"/>
    <w:rsid w:val="148E0DD7"/>
    <w:rsid w:val="14DE58BA"/>
    <w:rsid w:val="14E76E65"/>
    <w:rsid w:val="14EC0E8D"/>
    <w:rsid w:val="14ED479B"/>
    <w:rsid w:val="150712B5"/>
    <w:rsid w:val="15126972"/>
    <w:rsid w:val="152F25BA"/>
    <w:rsid w:val="153B1ECB"/>
    <w:rsid w:val="15592BF4"/>
    <w:rsid w:val="15820210"/>
    <w:rsid w:val="158A6C38"/>
    <w:rsid w:val="15B63F5E"/>
    <w:rsid w:val="15C42D02"/>
    <w:rsid w:val="15EB2077"/>
    <w:rsid w:val="16111015"/>
    <w:rsid w:val="162709B2"/>
    <w:rsid w:val="165D4F05"/>
    <w:rsid w:val="16975A4A"/>
    <w:rsid w:val="16CF5E02"/>
    <w:rsid w:val="16D056D6"/>
    <w:rsid w:val="16FE0496"/>
    <w:rsid w:val="171E48DD"/>
    <w:rsid w:val="172244D9"/>
    <w:rsid w:val="17324D25"/>
    <w:rsid w:val="1752433D"/>
    <w:rsid w:val="175D340E"/>
    <w:rsid w:val="17AC7EF2"/>
    <w:rsid w:val="17AD51E4"/>
    <w:rsid w:val="181E2472"/>
    <w:rsid w:val="18365A52"/>
    <w:rsid w:val="183A07EC"/>
    <w:rsid w:val="183F1CBD"/>
    <w:rsid w:val="185D743E"/>
    <w:rsid w:val="188B695F"/>
    <w:rsid w:val="18B11406"/>
    <w:rsid w:val="191922BD"/>
    <w:rsid w:val="192166BD"/>
    <w:rsid w:val="192B4E46"/>
    <w:rsid w:val="19797F86"/>
    <w:rsid w:val="19800B03"/>
    <w:rsid w:val="1981715C"/>
    <w:rsid w:val="19D657E8"/>
    <w:rsid w:val="19E27BFB"/>
    <w:rsid w:val="1A411D4B"/>
    <w:rsid w:val="1A546500"/>
    <w:rsid w:val="1A726136"/>
    <w:rsid w:val="1A91517D"/>
    <w:rsid w:val="1AA2382E"/>
    <w:rsid w:val="1AB865A1"/>
    <w:rsid w:val="1ABD2416"/>
    <w:rsid w:val="1AC81784"/>
    <w:rsid w:val="1ACA484B"/>
    <w:rsid w:val="1B185BF7"/>
    <w:rsid w:val="1B1B72E3"/>
    <w:rsid w:val="1B216501"/>
    <w:rsid w:val="1B3D0109"/>
    <w:rsid w:val="1B5F625E"/>
    <w:rsid w:val="1B6F54BE"/>
    <w:rsid w:val="1B7F68B3"/>
    <w:rsid w:val="1B8D3B96"/>
    <w:rsid w:val="1B99078D"/>
    <w:rsid w:val="1BC7354C"/>
    <w:rsid w:val="1C781ACB"/>
    <w:rsid w:val="1C9A2A0F"/>
    <w:rsid w:val="1CB53750"/>
    <w:rsid w:val="1CC034CB"/>
    <w:rsid w:val="1CD92545"/>
    <w:rsid w:val="1CE1063D"/>
    <w:rsid w:val="1CE91FD8"/>
    <w:rsid w:val="1CF163A7"/>
    <w:rsid w:val="1D100F23"/>
    <w:rsid w:val="1D4562A4"/>
    <w:rsid w:val="1D807B0D"/>
    <w:rsid w:val="1D8120BD"/>
    <w:rsid w:val="1D8A4831"/>
    <w:rsid w:val="1D99541E"/>
    <w:rsid w:val="1E1E348F"/>
    <w:rsid w:val="1E2539CA"/>
    <w:rsid w:val="1E2F0A74"/>
    <w:rsid w:val="1E5D4202"/>
    <w:rsid w:val="1E600BD8"/>
    <w:rsid w:val="1E9B1E8C"/>
    <w:rsid w:val="1EBD0C36"/>
    <w:rsid w:val="1ED470A1"/>
    <w:rsid w:val="1EDF0BAD"/>
    <w:rsid w:val="1EF44211"/>
    <w:rsid w:val="1EFD5ADE"/>
    <w:rsid w:val="1F4F686E"/>
    <w:rsid w:val="1F7372AB"/>
    <w:rsid w:val="1F883A36"/>
    <w:rsid w:val="1FA008B7"/>
    <w:rsid w:val="1FB2006F"/>
    <w:rsid w:val="1FC5231A"/>
    <w:rsid w:val="1FCD30FB"/>
    <w:rsid w:val="201C198C"/>
    <w:rsid w:val="205F1CF0"/>
    <w:rsid w:val="208958E4"/>
    <w:rsid w:val="20FD531A"/>
    <w:rsid w:val="21463165"/>
    <w:rsid w:val="2166370E"/>
    <w:rsid w:val="2189404C"/>
    <w:rsid w:val="21B46321"/>
    <w:rsid w:val="21C347B6"/>
    <w:rsid w:val="222C235B"/>
    <w:rsid w:val="22835CF3"/>
    <w:rsid w:val="22D26101"/>
    <w:rsid w:val="22E76282"/>
    <w:rsid w:val="230961F8"/>
    <w:rsid w:val="231F668C"/>
    <w:rsid w:val="232B0864"/>
    <w:rsid w:val="234966CA"/>
    <w:rsid w:val="236478D2"/>
    <w:rsid w:val="23865C9B"/>
    <w:rsid w:val="239874A9"/>
    <w:rsid w:val="239B2019"/>
    <w:rsid w:val="239D2A7F"/>
    <w:rsid w:val="23C806DF"/>
    <w:rsid w:val="23F339A9"/>
    <w:rsid w:val="24053736"/>
    <w:rsid w:val="24637B8A"/>
    <w:rsid w:val="24CA6F0B"/>
    <w:rsid w:val="24E52C95"/>
    <w:rsid w:val="24F039A5"/>
    <w:rsid w:val="251021BD"/>
    <w:rsid w:val="2549584E"/>
    <w:rsid w:val="254A48EC"/>
    <w:rsid w:val="258C3110"/>
    <w:rsid w:val="25B21390"/>
    <w:rsid w:val="25E85C90"/>
    <w:rsid w:val="263A0DBE"/>
    <w:rsid w:val="264B4D7A"/>
    <w:rsid w:val="26754D52"/>
    <w:rsid w:val="26B576F6"/>
    <w:rsid w:val="26D72925"/>
    <w:rsid w:val="26F64CE5"/>
    <w:rsid w:val="27012A9C"/>
    <w:rsid w:val="27912C60"/>
    <w:rsid w:val="27BA6AC8"/>
    <w:rsid w:val="27C9064C"/>
    <w:rsid w:val="27D17500"/>
    <w:rsid w:val="28123DA1"/>
    <w:rsid w:val="286B525F"/>
    <w:rsid w:val="292518B2"/>
    <w:rsid w:val="2939710B"/>
    <w:rsid w:val="299D769A"/>
    <w:rsid w:val="29C33E49"/>
    <w:rsid w:val="29D53466"/>
    <w:rsid w:val="2A177CE5"/>
    <w:rsid w:val="2AE11467"/>
    <w:rsid w:val="2B433460"/>
    <w:rsid w:val="2B5812DB"/>
    <w:rsid w:val="2B6916C7"/>
    <w:rsid w:val="2B6B0545"/>
    <w:rsid w:val="2BA2552E"/>
    <w:rsid w:val="2BBB64FD"/>
    <w:rsid w:val="2BCC2D4B"/>
    <w:rsid w:val="2BEC2B5B"/>
    <w:rsid w:val="2C5A5D16"/>
    <w:rsid w:val="2C7F5E51"/>
    <w:rsid w:val="2C8E59C0"/>
    <w:rsid w:val="2CAF6062"/>
    <w:rsid w:val="2CB41DD1"/>
    <w:rsid w:val="2CBB430D"/>
    <w:rsid w:val="2CBF1147"/>
    <w:rsid w:val="2CDF7BB7"/>
    <w:rsid w:val="2D0F4D53"/>
    <w:rsid w:val="2D2D51D9"/>
    <w:rsid w:val="2D811081"/>
    <w:rsid w:val="2DBD7456"/>
    <w:rsid w:val="2DD738EC"/>
    <w:rsid w:val="2DF61A6F"/>
    <w:rsid w:val="2E3938FB"/>
    <w:rsid w:val="2E4B5A35"/>
    <w:rsid w:val="2E4C78E1"/>
    <w:rsid w:val="2E731610"/>
    <w:rsid w:val="2E8966FF"/>
    <w:rsid w:val="2F126434"/>
    <w:rsid w:val="2F1F0B51"/>
    <w:rsid w:val="2FA77400"/>
    <w:rsid w:val="2FB7172A"/>
    <w:rsid w:val="2FC5349B"/>
    <w:rsid w:val="3065119A"/>
    <w:rsid w:val="30772A7B"/>
    <w:rsid w:val="307D6477"/>
    <w:rsid w:val="30A34F7E"/>
    <w:rsid w:val="30AE03DF"/>
    <w:rsid w:val="30BA0072"/>
    <w:rsid w:val="30C65728"/>
    <w:rsid w:val="31350B00"/>
    <w:rsid w:val="317E24A7"/>
    <w:rsid w:val="31AC0603"/>
    <w:rsid w:val="31BE4652"/>
    <w:rsid w:val="31E83DC4"/>
    <w:rsid w:val="31FF0314"/>
    <w:rsid w:val="320F30FF"/>
    <w:rsid w:val="325F576F"/>
    <w:rsid w:val="327C10AC"/>
    <w:rsid w:val="32CA2337"/>
    <w:rsid w:val="33051DB2"/>
    <w:rsid w:val="333A4AF6"/>
    <w:rsid w:val="33B0446E"/>
    <w:rsid w:val="33F53E0D"/>
    <w:rsid w:val="349D2C44"/>
    <w:rsid w:val="34A246FE"/>
    <w:rsid w:val="34BF4789"/>
    <w:rsid w:val="35071DBE"/>
    <w:rsid w:val="355A3E1C"/>
    <w:rsid w:val="3566572C"/>
    <w:rsid w:val="356F66DB"/>
    <w:rsid w:val="35841B81"/>
    <w:rsid w:val="35B77D36"/>
    <w:rsid w:val="35E42AE9"/>
    <w:rsid w:val="35E52AF5"/>
    <w:rsid w:val="360A2A62"/>
    <w:rsid w:val="3619157F"/>
    <w:rsid w:val="3693195B"/>
    <w:rsid w:val="36C7044C"/>
    <w:rsid w:val="36DF5796"/>
    <w:rsid w:val="37773C20"/>
    <w:rsid w:val="37BF2ED1"/>
    <w:rsid w:val="380D5588"/>
    <w:rsid w:val="381F46A9"/>
    <w:rsid w:val="38804D57"/>
    <w:rsid w:val="389C7DF4"/>
    <w:rsid w:val="38D9778B"/>
    <w:rsid w:val="39423DBA"/>
    <w:rsid w:val="39785322"/>
    <w:rsid w:val="39893797"/>
    <w:rsid w:val="39912DE3"/>
    <w:rsid w:val="39BA6046"/>
    <w:rsid w:val="3A0C71FA"/>
    <w:rsid w:val="3A5E69D2"/>
    <w:rsid w:val="3A7206CF"/>
    <w:rsid w:val="3A905A18"/>
    <w:rsid w:val="3AB42A96"/>
    <w:rsid w:val="3B003F2D"/>
    <w:rsid w:val="3B302282"/>
    <w:rsid w:val="3B3616FD"/>
    <w:rsid w:val="3B47283E"/>
    <w:rsid w:val="3B4C7CD8"/>
    <w:rsid w:val="3B5E024C"/>
    <w:rsid w:val="3B7D557D"/>
    <w:rsid w:val="3BAE1BDB"/>
    <w:rsid w:val="3BB16FD5"/>
    <w:rsid w:val="3BD57167"/>
    <w:rsid w:val="3BE253E0"/>
    <w:rsid w:val="3BE94999"/>
    <w:rsid w:val="3C4F17C4"/>
    <w:rsid w:val="3CB20503"/>
    <w:rsid w:val="3CB90837"/>
    <w:rsid w:val="3CE33B06"/>
    <w:rsid w:val="3D26209C"/>
    <w:rsid w:val="3D7102F9"/>
    <w:rsid w:val="3D7704B3"/>
    <w:rsid w:val="3DB14979"/>
    <w:rsid w:val="3DBF1E7D"/>
    <w:rsid w:val="3DDD646F"/>
    <w:rsid w:val="3E73782B"/>
    <w:rsid w:val="3E8758E9"/>
    <w:rsid w:val="3F1B3534"/>
    <w:rsid w:val="3F7B3D75"/>
    <w:rsid w:val="3F991A1E"/>
    <w:rsid w:val="3FB62E0C"/>
    <w:rsid w:val="3FF12096"/>
    <w:rsid w:val="40495C74"/>
    <w:rsid w:val="40730CFD"/>
    <w:rsid w:val="40787444"/>
    <w:rsid w:val="409475F1"/>
    <w:rsid w:val="40C854ED"/>
    <w:rsid w:val="40F33FE1"/>
    <w:rsid w:val="412121FB"/>
    <w:rsid w:val="412344D1"/>
    <w:rsid w:val="415F59A4"/>
    <w:rsid w:val="418D5DEE"/>
    <w:rsid w:val="41986978"/>
    <w:rsid w:val="41987951"/>
    <w:rsid w:val="42426BD9"/>
    <w:rsid w:val="427E2BB0"/>
    <w:rsid w:val="428216CB"/>
    <w:rsid w:val="42C13FA2"/>
    <w:rsid w:val="42D27F5D"/>
    <w:rsid w:val="42E24E78"/>
    <w:rsid w:val="431C567C"/>
    <w:rsid w:val="43212C92"/>
    <w:rsid w:val="43346307"/>
    <w:rsid w:val="43790D20"/>
    <w:rsid w:val="43BC1F75"/>
    <w:rsid w:val="43D8569B"/>
    <w:rsid w:val="4438420F"/>
    <w:rsid w:val="44564BBE"/>
    <w:rsid w:val="44BF09B5"/>
    <w:rsid w:val="44C31482"/>
    <w:rsid w:val="44CD4FA8"/>
    <w:rsid w:val="44CD5408"/>
    <w:rsid w:val="44DB760A"/>
    <w:rsid w:val="44EC4671"/>
    <w:rsid w:val="450703F9"/>
    <w:rsid w:val="45107462"/>
    <w:rsid w:val="456A6B72"/>
    <w:rsid w:val="458A4B1F"/>
    <w:rsid w:val="45931FE5"/>
    <w:rsid w:val="459B6D2C"/>
    <w:rsid w:val="459F2F8F"/>
    <w:rsid w:val="45A54224"/>
    <w:rsid w:val="45E71F71"/>
    <w:rsid w:val="45F96148"/>
    <w:rsid w:val="46361C50"/>
    <w:rsid w:val="46584C1D"/>
    <w:rsid w:val="465E7D59"/>
    <w:rsid w:val="46CE645F"/>
    <w:rsid w:val="46EA51C7"/>
    <w:rsid w:val="46F2059F"/>
    <w:rsid w:val="47013507"/>
    <w:rsid w:val="47040901"/>
    <w:rsid w:val="471B6679"/>
    <w:rsid w:val="473C5EFF"/>
    <w:rsid w:val="47471EE4"/>
    <w:rsid w:val="47507FEA"/>
    <w:rsid w:val="47BC567F"/>
    <w:rsid w:val="47C00CCC"/>
    <w:rsid w:val="480D36B8"/>
    <w:rsid w:val="48137925"/>
    <w:rsid w:val="48260BA6"/>
    <w:rsid w:val="483F6A05"/>
    <w:rsid w:val="48684EBF"/>
    <w:rsid w:val="48BC5937"/>
    <w:rsid w:val="48FD2A6B"/>
    <w:rsid w:val="48FF0284"/>
    <w:rsid w:val="490C7F41"/>
    <w:rsid w:val="490F13B3"/>
    <w:rsid w:val="491237A9"/>
    <w:rsid w:val="493C78C6"/>
    <w:rsid w:val="494E2307"/>
    <w:rsid w:val="497004D0"/>
    <w:rsid w:val="49840ED3"/>
    <w:rsid w:val="49B760FE"/>
    <w:rsid w:val="4A1C5F07"/>
    <w:rsid w:val="4A766AE5"/>
    <w:rsid w:val="4B2A0FBC"/>
    <w:rsid w:val="4B6B0F4E"/>
    <w:rsid w:val="4B74157C"/>
    <w:rsid w:val="4B7E1BD4"/>
    <w:rsid w:val="4B871B00"/>
    <w:rsid w:val="4B8E10E1"/>
    <w:rsid w:val="4B9E1324"/>
    <w:rsid w:val="4BC83693"/>
    <w:rsid w:val="4BE34F89"/>
    <w:rsid w:val="4BE807F1"/>
    <w:rsid w:val="4BFC604B"/>
    <w:rsid w:val="4C1205B3"/>
    <w:rsid w:val="4C787DC7"/>
    <w:rsid w:val="4C7A742B"/>
    <w:rsid w:val="4CA4489B"/>
    <w:rsid w:val="4CC42B93"/>
    <w:rsid w:val="4CD3324F"/>
    <w:rsid w:val="4D0E72DC"/>
    <w:rsid w:val="4D5A74CD"/>
    <w:rsid w:val="4D5E0709"/>
    <w:rsid w:val="4D7C1024"/>
    <w:rsid w:val="4D9C44D3"/>
    <w:rsid w:val="4DA05D99"/>
    <w:rsid w:val="4DA42E3E"/>
    <w:rsid w:val="4DDC6134"/>
    <w:rsid w:val="4DE563DC"/>
    <w:rsid w:val="4E0F26F0"/>
    <w:rsid w:val="4E101444"/>
    <w:rsid w:val="4E6A5BF2"/>
    <w:rsid w:val="4E7740AE"/>
    <w:rsid w:val="4E880069"/>
    <w:rsid w:val="4E962786"/>
    <w:rsid w:val="4E994025"/>
    <w:rsid w:val="4EA2112B"/>
    <w:rsid w:val="4EA5353E"/>
    <w:rsid w:val="4EAE40A9"/>
    <w:rsid w:val="4EC372F3"/>
    <w:rsid w:val="4EFD2805"/>
    <w:rsid w:val="4F196F13"/>
    <w:rsid w:val="4F477BE7"/>
    <w:rsid w:val="4F5F6F20"/>
    <w:rsid w:val="4F816A3F"/>
    <w:rsid w:val="4FE708C6"/>
    <w:rsid w:val="4FFF435B"/>
    <w:rsid w:val="501F49FD"/>
    <w:rsid w:val="503B2799"/>
    <w:rsid w:val="505A13B7"/>
    <w:rsid w:val="505E784B"/>
    <w:rsid w:val="508B3E41"/>
    <w:rsid w:val="50961A5C"/>
    <w:rsid w:val="50BB0282"/>
    <w:rsid w:val="50D342E4"/>
    <w:rsid w:val="50D56A78"/>
    <w:rsid w:val="510F05CE"/>
    <w:rsid w:val="511405B4"/>
    <w:rsid w:val="51184472"/>
    <w:rsid w:val="51442BEE"/>
    <w:rsid w:val="516061FB"/>
    <w:rsid w:val="51786173"/>
    <w:rsid w:val="519F416B"/>
    <w:rsid w:val="51C94C21"/>
    <w:rsid w:val="52120376"/>
    <w:rsid w:val="523A167B"/>
    <w:rsid w:val="525564B4"/>
    <w:rsid w:val="52595FA5"/>
    <w:rsid w:val="525A7F6F"/>
    <w:rsid w:val="52675102"/>
    <w:rsid w:val="5276129C"/>
    <w:rsid w:val="52866565"/>
    <w:rsid w:val="52DD7A67"/>
    <w:rsid w:val="530D28AD"/>
    <w:rsid w:val="530F48B5"/>
    <w:rsid w:val="53764005"/>
    <w:rsid w:val="53991C8D"/>
    <w:rsid w:val="53AD46DD"/>
    <w:rsid w:val="53C102A5"/>
    <w:rsid w:val="53E05237"/>
    <w:rsid w:val="53F35F85"/>
    <w:rsid w:val="53FE1DF3"/>
    <w:rsid w:val="54505185"/>
    <w:rsid w:val="54554E92"/>
    <w:rsid w:val="54A131F8"/>
    <w:rsid w:val="54A656ED"/>
    <w:rsid w:val="54DA7B83"/>
    <w:rsid w:val="54F40207"/>
    <w:rsid w:val="54FB1595"/>
    <w:rsid w:val="55286A78"/>
    <w:rsid w:val="5552317F"/>
    <w:rsid w:val="55570796"/>
    <w:rsid w:val="55610D15"/>
    <w:rsid w:val="559B4B26"/>
    <w:rsid w:val="559F3225"/>
    <w:rsid w:val="55B566A9"/>
    <w:rsid w:val="55D50038"/>
    <w:rsid w:val="563A433F"/>
    <w:rsid w:val="567B7403"/>
    <w:rsid w:val="56933A4F"/>
    <w:rsid w:val="56BC6B02"/>
    <w:rsid w:val="56BD6580"/>
    <w:rsid w:val="56E41D4D"/>
    <w:rsid w:val="56F11165"/>
    <w:rsid w:val="570109B9"/>
    <w:rsid w:val="57832294"/>
    <w:rsid w:val="57D0303B"/>
    <w:rsid w:val="57E94B68"/>
    <w:rsid w:val="580249E9"/>
    <w:rsid w:val="582D24B4"/>
    <w:rsid w:val="5862192B"/>
    <w:rsid w:val="58F00CE5"/>
    <w:rsid w:val="58F060C0"/>
    <w:rsid w:val="59097FF9"/>
    <w:rsid w:val="59127F9D"/>
    <w:rsid w:val="592866D1"/>
    <w:rsid w:val="59376914"/>
    <w:rsid w:val="59613991"/>
    <w:rsid w:val="59697F43"/>
    <w:rsid w:val="59B166C6"/>
    <w:rsid w:val="59EB1E6F"/>
    <w:rsid w:val="59FB7EC1"/>
    <w:rsid w:val="5A1D5A4B"/>
    <w:rsid w:val="5A43294D"/>
    <w:rsid w:val="5A61512D"/>
    <w:rsid w:val="5AC57016"/>
    <w:rsid w:val="5AE42ACB"/>
    <w:rsid w:val="5B0C7A39"/>
    <w:rsid w:val="5B2E7F45"/>
    <w:rsid w:val="5B3E51B6"/>
    <w:rsid w:val="5B865931"/>
    <w:rsid w:val="5BB77015"/>
    <w:rsid w:val="5BC37968"/>
    <w:rsid w:val="5BC40AB2"/>
    <w:rsid w:val="5BF1724E"/>
    <w:rsid w:val="5C204DFF"/>
    <w:rsid w:val="5C2C297C"/>
    <w:rsid w:val="5C31448F"/>
    <w:rsid w:val="5C3263FF"/>
    <w:rsid w:val="5CF1327E"/>
    <w:rsid w:val="5CF52D6E"/>
    <w:rsid w:val="5D3E4715"/>
    <w:rsid w:val="5DBA7B13"/>
    <w:rsid w:val="5DBE3ECD"/>
    <w:rsid w:val="5DE60909"/>
    <w:rsid w:val="5E643B07"/>
    <w:rsid w:val="5E6A32E8"/>
    <w:rsid w:val="5E820631"/>
    <w:rsid w:val="5E826883"/>
    <w:rsid w:val="5E895E64"/>
    <w:rsid w:val="5EBD6E4B"/>
    <w:rsid w:val="5EE15B4F"/>
    <w:rsid w:val="5EE642F9"/>
    <w:rsid w:val="5EF75CAA"/>
    <w:rsid w:val="5F011E9E"/>
    <w:rsid w:val="5F624E52"/>
    <w:rsid w:val="5FFA3418"/>
    <w:rsid w:val="5FFC7A36"/>
    <w:rsid w:val="600532C8"/>
    <w:rsid w:val="600D4872"/>
    <w:rsid w:val="60101415"/>
    <w:rsid w:val="607E5DD2"/>
    <w:rsid w:val="60C56C99"/>
    <w:rsid w:val="60DB4EE2"/>
    <w:rsid w:val="60F974C4"/>
    <w:rsid w:val="610C1D8A"/>
    <w:rsid w:val="611A0EA3"/>
    <w:rsid w:val="6134755A"/>
    <w:rsid w:val="6180657D"/>
    <w:rsid w:val="62053E34"/>
    <w:rsid w:val="625978FB"/>
    <w:rsid w:val="625C563D"/>
    <w:rsid w:val="625C73EB"/>
    <w:rsid w:val="62885FF1"/>
    <w:rsid w:val="62A74054"/>
    <w:rsid w:val="62DE6052"/>
    <w:rsid w:val="631F430E"/>
    <w:rsid w:val="63330FFD"/>
    <w:rsid w:val="634360C9"/>
    <w:rsid w:val="634D05B6"/>
    <w:rsid w:val="634D730D"/>
    <w:rsid w:val="63682351"/>
    <w:rsid w:val="63BC6393"/>
    <w:rsid w:val="63D3192F"/>
    <w:rsid w:val="63DE4A21"/>
    <w:rsid w:val="63EE1587"/>
    <w:rsid w:val="64177A6E"/>
    <w:rsid w:val="643731D5"/>
    <w:rsid w:val="6439699E"/>
    <w:rsid w:val="64501711"/>
    <w:rsid w:val="6470717E"/>
    <w:rsid w:val="647F4D8B"/>
    <w:rsid w:val="648116AA"/>
    <w:rsid w:val="64E53367"/>
    <w:rsid w:val="64FC3347"/>
    <w:rsid w:val="65BC6B1F"/>
    <w:rsid w:val="65C87DEC"/>
    <w:rsid w:val="65F743F6"/>
    <w:rsid w:val="66133D90"/>
    <w:rsid w:val="66456B14"/>
    <w:rsid w:val="664B1C51"/>
    <w:rsid w:val="66634887"/>
    <w:rsid w:val="667271DD"/>
    <w:rsid w:val="668F4233"/>
    <w:rsid w:val="669727D3"/>
    <w:rsid w:val="66CC0FE3"/>
    <w:rsid w:val="66CF5C46"/>
    <w:rsid w:val="671A7E08"/>
    <w:rsid w:val="674E19F8"/>
    <w:rsid w:val="6784541A"/>
    <w:rsid w:val="679715F1"/>
    <w:rsid w:val="67CD5323"/>
    <w:rsid w:val="67CF04D5"/>
    <w:rsid w:val="67FF2CF3"/>
    <w:rsid w:val="68304864"/>
    <w:rsid w:val="68714BFA"/>
    <w:rsid w:val="68923B67"/>
    <w:rsid w:val="69136AE3"/>
    <w:rsid w:val="69583CA4"/>
    <w:rsid w:val="695B31AD"/>
    <w:rsid w:val="69867F8E"/>
    <w:rsid w:val="698E70D4"/>
    <w:rsid w:val="69A52104"/>
    <w:rsid w:val="69BA3375"/>
    <w:rsid w:val="69DA1A1F"/>
    <w:rsid w:val="69FA7C16"/>
    <w:rsid w:val="6A23064D"/>
    <w:rsid w:val="6A4E1D0F"/>
    <w:rsid w:val="6A597803"/>
    <w:rsid w:val="6A696A27"/>
    <w:rsid w:val="6A9E4A45"/>
    <w:rsid w:val="6AE61F48"/>
    <w:rsid w:val="6B040620"/>
    <w:rsid w:val="6B2B3D58"/>
    <w:rsid w:val="6B2D5DC9"/>
    <w:rsid w:val="6B340F05"/>
    <w:rsid w:val="6B4C44A1"/>
    <w:rsid w:val="6C1D5195"/>
    <w:rsid w:val="6C284ABC"/>
    <w:rsid w:val="6C3F5DB4"/>
    <w:rsid w:val="6C447CAF"/>
    <w:rsid w:val="6C517895"/>
    <w:rsid w:val="6C7C2B64"/>
    <w:rsid w:val="6CAD5413"/>
    <w:rsid w:val="6CB25662"/>
    <w:rsid w:val="6CF7043C"/>
    <w:rsid w:val="6D0239DD"/>
    <w:rsid w:val="6D095FAC"/>
    <w:rsid w:val="6D140FEE"/>
    <w:rsid w:val="6D1C53CA"/>
    <w:rsid w:val="6D2D20B0"/>
    <w:rsid w:val="6D325918"/>
    <w:rsid w:val="6D6A6E60"/>
    <w:rsid w:val="6D831DAC"/>
    <w:rsid w:val="6D875C64"/>
    <w:rsid w:val="6D8B0CAC"/>
    <w:rsid w:val="6D952155"/>
    <w:rsid w:val="6DA51653"/>
    <w:rsid w:val="6DBD3434"/>
    <w:rsid w:val="6DC26C9C"/>
    <w:rsid w:val="6DCB4FF7"/>
    <w:rsid w:val="6DCF1E10"/>
    <w:rsid w:val="6E2A7BE1"/>
    <w:rsid w:val="6E357253"/>
    <w:rsid w:val="6E5E7BAA"/>
    <w:rsid w:val="6E6118D9"/>
    <w:rsid w:val="6E821F06"/>
    <w:rsid w:val="6EC92BFA"/>
    <w:rsid w:val="6ECD3B4B"/>
    <w:rsid w:val="6ECD58F9"/>
    <w:rsid w:val="6EEE586F"/>
    <w:rsid w:val="6EEF3E2A"/>
    <w:rsid w:val="6F1445E4"/>
    <w:rsid w:val="6F2968A7"/>
    <w:rsid w:val="6F457B85"/>
    <w:rsid w:val="6FEA58DE"/>
    <w:rsid w:val="70223A22"/>
    <w:rsid w:val="70657DB3"/>
    <w:rsid w:val="70B87C2E"/>
    <w:rsid w:val="70C64CF5"/>
    <w:rsid w:val="713A2FED"/>
    <w:rsid w:val="71744080"/>
    <w:rsid w:val="717D46FA"/>
    <w:rsid w:val="71883D59"/>
    <w:rsid w:val="71B143BB"/>
    <w:rsid w:val="71E67BAB"/>
    <w:rsid w:val="720C2BDC"/>
    <w:rsid w:val="7255385B"/>
    <w:rsid w:val="728A1A2B"/>
    <w:rsid w:val="72930C07"/>
    <w:rsid w:val="72987FCC"/>
    <w:rsid w:val="72C82680"/>
    <w:rsid w:val="72D059B7"/>
    <w:rsid w:val="72D27075"/>
    <w:rsid w:val="72EB561D"/>
    <w:rsid w:val="72FC67AC"/>
    <w:rsid w:val="730F63EF"/>
    <w:rsid w:val="734772C4"/>
    <w:rsid w:val="734E2D80"/>
    <w:rsid w:val="7361571C"/>
    <w:rsid w:val="73722F12"/>
    <w:rsid w:val="73836344"/>
    <w:rsid w:val="73974BB2"/>
    <w:rsid w:val="73D74F30"/>
    <w:rsid w:val="740873D3"/>
    <w:rsid w:val="741D2E7E"/>
    <w:rsid w:val="74C7103C"/>
    <w:rsid w:val="74F00593"/>
    <w:rsid w:val="74FF3953"/>
    <w:rsid w:val="7513602F"/>
    <w:rsid w:val="75137DDD"/>
    <w:rsid w:val="751E1FA6"/>
    <w:rsid w:val="752C55F8"/>
    <w:rsid w:val="753D6E5D"/>
    <w:rsid w:val="754937FF"/>
    <w:rsid w:val="75B024BB"/>
    <w:rsid w:val="75B10312"/>
    <w:rsid w:val="76085468"/>
    <w:rsid w:val="76285C61"/>
    <w:rsid w:val="766F54E7"/>
    <w:rsid w:val="76962A74"/>
    <w:rsid w:val="76E15093"/>
    <w:rsid w:val="77026C0F"/>
    <w:rsid w:val="771627CE"/>
    <w:rsid w:val="77194EC2"/>
    <w:rsid w:val="774A751F"/>
    <w:rsid w:val="77550326"/>
    <w:rsid w:val="77754D7F"/>
    <w:rsid w:val="778154D2"/>
    <w:rsid w:val="77A86F03"/>
    <w:rsid w:val="77AF64E3"/>
    <w:rsid w:val="77F51A1C"/>
    <w:rsid w:val="780C357D"/>
    <w:rsid w:val="781B5282"/>
    <w:rsid w:val="78405AB8"/>
    <w:rsid w:val="78794648"/>
    <w:rsid w:val="78804B7D"/>
    <w:rsid w:val="78880AE2"/>
    <w:rsid w:val="78A84CE1"/>
    <w:rsid w:val="78BD7A00"/>
    <w:rsid w:val="78BE19AE"/>
    <w:rsid w:val="78CE2999"/>
    <w:rsid w:val="78DE0702"/>
    <w:rsid w:val="78EB6F83"/>
    <w:rsid w:val="791660EE"/>
    <w:rsid w:val="793D5644"/>
    <w:rsid w:val="794C6985"/>
    <w:rsid w:val="795F1843"/>
    <w:rsid w:val="79715464"/>
    <w:rsid w:val="79D72118"/>
    <w:rsid w:val="79E166FC"/>
    <w:rsid w:val="79E5352C"/>
    <w:rsid w:val="7A3D6706"/>
    <w:rsid w:val="7A6651A1"/>
    <w:rsid w:val="7A8157E9"/>
    <w:rsid w:val="7AA66A34"/>
    <w:rsid w:val="7AA85F44"/>
    <w:rsid w:val="7AB56CBA"/>
    <w:rsid w:val="7AB57A3E"/>
    <w:rsid w:val="7B221855"/>
    <w:rsid w:val="7B6D59AB"/>
    <w:rsid w:val="7B925277"/>
    <w:rsid w:val="7B9A1258"/>
    <w:rsid w:val="7BA33F17"/>
    <w:rsid w:val="7BA774D1"/>
    <w:rsid w:val="7C206C40"/>
    <w:rsid w:val="7C25321F"/>
    <w:rsid w:val="7C401BE6"/>
    <w:rsid w:val="7C660384"/>
    <w:rsid w:val="7CA310A1"/>
    <w:rsid w:val="7CD64A19"/>
    <w:rsid w:val="7CE04E93"/>
    <w:rsid w:val="7CFD5B1E"/>
    <w:rsid w:val="7D2F7F78"/>
    <w:rsid w:val="7D307669"/>
    <w:rsid w:val="7D760F0D"/>
    <w:rsid w:val="7DDA78E3"/>
    <w:rsid w:val="7DF033B2"/>
    <w:rsid w:val="7E132BFC"/>
    <w:rsid w:val="7E2968C4"/>
    <w:rsid w:val="7E4C2D25"/>
    <w:rsid w:val="7EA560FE"/>
    <w:rsid w:val="7EDB26CA"/>
    <w:rsid w:val="7EEC2475"/>
    <w:rsid w:val="7F7B4EFD"/>
    <w:rsid w:val="7F7F6AE5"/>
    <w:rsid w:val="7F9756CF"/>
    <w:rsid w:val="7FC93C0A"/>
    <w:rsid w:val="7FE66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883" w:firstLineChars="200"/>
      <w:jc w:val="both"/>
    </w:pPr>
    <w:rPr>
      <w:rFonts w:ascii="仿宋" w:hAnsi="仿宋" w:eastAsia="仿宋" w:cs="仿宋"/>
      <w:kern w:val="2"/>
      <w:sz w:val="30"/>
      <w:szCs w:val="30"/>
      <w:lang w:val="en-US" w:eastAsia="zh-CN" w:bidi="ar-SA"/>
    </w:rPr>
  </w:style>
  <w:style w:type="paragraph" w:styleId="2">
    <w:name w:val="heading 1"/>
    <w:basedOn w:val="1"/>
    <w:link w:val="21"/>
    <w:qFormat/>
    <w:uiPriority w:val="0"/>
    <w:pPr>
      <w:keepNext/>
      <w:keepLines/>
      <w:numPr>
        <w:ilvl w:val="0"/>
        <w:numId w:val="1"/>
      </w:numPr>
      <w:spacing w:beforeLines="0" w:beforeAutospacing="0" w:afterLines="0" w:afterAutospacing="0" w:line="432" w:lineRule="auto"/>
      <w:jc w:val="center"/>
      <w:outlineLvl w:val="0"/>
    </w:pPr>
    <w:rPr>
      <w:rFonts w:eastAsia="黑体" w:asciiTheme="minorAscii" w:hAnsiTheme="minorAscii"/>
      <w:b/>
      <w:kern w:val="44"/>
      <w:sz w:val="44"/>
      <w:szCs w:val="44"/>
    </w:rPr>
  </w:style>
  <w:style w:type="paragraph" w:styleId="3">
    <w:name w:val="heading 2"/>
    <w:basedOn w:val="1"/>
    <w:next w:val="1"/>
    <w:unhideWhenUsed/>
    <w:qFormat/>
    <w:uiPriority w:val="0"/>
    <w:pPr>
      <w:keepNext/>
      <w:keepLines/>
      <w:numPr>
        <w:ilvl w:val="1"/>
        <w:numId w:val="1"/>
      </w:numPr>
      <w:spacing w:before="40" w:beforeLines="0" w:beforeAutospacing="0" w:after="40" w:afterLines="0" w:afterAutospacing="0" w:line="413" w:lineRule="auto"/>
      <w:outlineLvl w:val="1"/>
    </w:pPr>
    <w:rPr>
      <w:rFonts w:ascii="Arial" w:hAnsi="Arial" w:eastAsia="仿宋"/>
      <w:b/>
      <w:sz w:val="32"/>
    </w:rPr>
  </w:style>
  <w:style w:type="paragraph" w:styleId="4">
    <w:name w:val="heading 3"/>
    <w:basedOn w:val="1"/>
    <w:next w:val="1"/>
    <w:unhideWhenUsed/>
    <w:qFormat/>
    <w:uiPriority w:val="0"/>
    <w:pPr>
      <w:keepNext/>
      <w:keepLines/>
      <w:numPr>
        <w:ilvl w:val="2"/>
        <w:numId w:val="1"/>
      </w:numPr>
      <w:spacing w:before="40" w:beforeLines="0" w:beforeAutospacing="0" w:after="40" w:afterLines="0" w:afterAutospacing="0" w:line="360" w:lineRule="auto"/>
      <w:outlineLvl w:val="2"/>
    </w:pPr>
    <w:rPr>
      <w:rFonts w:ascii="宋体" w:hAnsi="宋体" w:eastAsia="仿宋"/>
    </w:rPr>
  </w:style>
  <w:style w:type="paragraph" w:styleId="5">
    <w:name w:val="heading 4"/>
    <w:basedOn w:val="1"/>
    <w:next w:val="1"/>
    <w:unhideWhenUsed/>
    <w:qFormat/>
    <w:uiPriority w:val="0"/>
    <w:pPr>
      <w:keepNext/>
      <w:keepLines/>
      <w:numPr>
        <w:ilvl w:val="3"/>
        <w:numId w:val="1"/>
      </w:numPr>
      <w:spacing w:before="280" w:beforeLines="0" w:beforeAutospacing="0" w:after="290" w:afterLines="0" w:afterAutospacing="0" w:line="372" w:lineRule="auto"/>
      <w:outlineLvl w:val="3"/>
    </w:pPr>
    <w:rPr>
      <w:rFonts w:ascii="宋体" w:hAnsi="宋体"/>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6">
    <w:name w:val="Default Paragraph Font"/>
    <w:qFormat/>
    <w:uiPriority w:val="0"/>
    <w:rPr>
      <w:rFonts w:ascii="Times New Roman" w:hAnsi="Times New Roman" w:eastAsia="宋体"/>
      <w:sz w:val="30"/>
    </w:rPr>
  </w:style>
  <w:style w:type="table" w:default="1" w:styleId="14">
    <w:name w:val="Normal Table"/>
    <w:semiHidden/>
    <w:qFormat/>
    <w:uiPriority w:val="0"/>
    <w:tblPr>
      <w:tblCellMar>
        <w:top w:w="0" w:type="dxa"/>
        <w:left w:w="108" w:type="dxa"/>
        <w:bottom w:w="0" w:type="dxa"/>
        <w:right w:w="108" w:type="dxa"/>
      </w:tblCellMar>
    </w:tblPr>
  </w:style>
  <w:style w:type="paragraph" w:styleId="11">
    <w:name w:val="Body Text"/>
    <w:qFormat/>
    <w:uiPriority w:val="0"/>
    <w:pPr>
      <w:widowControl w:val="0"/>
      <w:spacing w:line="360" w:lineRule="auto"/>
      <w:ind w:firstLine="0" w:firstLineChars="0"/>
      <w:jc w:val="left"/>
    </w:pPr>
    <w:rPr>
      <w:rFonts w:ascii="Times New Roman" w:hAnsi="Times New Roman" w:eastAsia="宋体" w:cs="Times New Roman"/>
      <w:kern w:val="0"/>
      <w:sz w:val="24"/>
      <w:szCs w:val="20"/>
      <w:lang w:val="en-US" w:eastAsia="zh-CN" w:bidi="ar-SA"/>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link w:val="1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表格居中"/>
    <w:basedOn w:val="1"/>
    <w:link w:val="20"/>
    <w:qFormat/>
    <w:uiPriority w:val="0"/>
    <w:pPr>
      <w:ind w:firstLine="0" w:firstLineChars="0"/>
      <w:jc w:val="center"/>
    </w:pPr>
    <w:rPr>
      <w:sz w:val="24"/>
    </w:rPr>
  </w:style>
  <w:style w:type="table" w:customStyle="1" w:styleId="18">
    <w:name w:val="Table Normal"/>
    <w:semiHidden/>
    <w:unhideWhenUsed/>
    <w:qFormat/>
    <w:uiPriority w:val="0"/>
    <w:tblPr>
      <w:tblCellMar>
        <w:top w:w="0" w:type="dxa"/>
        <w:left w:w="0" w:type="dxa"/>
        <w:bottom w:w="0" w:type="dxa"/>
        <w:right w:w="0" w:type="dxa"/>
      </w:tblCellMar>
    </w:tblPr>
  </w:style>
  <w:style w:type="character" w:customStyle="1" w:styleId="19">
    <w:name w:val="页眉 Char"/>
    <w:link w:val="13"/>
    <w:qFormat/>
    <w:uiPriority w:val="0"/>
    <w:rPr>
      <w:sz w:val="18"/>
    </w:rPr>
  </w:style>
  <w:style w:type="character" w:customStyle="1" w:styleId="20">
    <w:name w:val="表格居中 Char"/>
    <w:link w:val="17"/>
    <w:qFormat/>
    <w:uiPriority w:val="0"/>
    <w:rPr>
      <w:sz w:val="24"/>
    </w:rPr>
  </w:style>
  <w:style w:type="character" w:customStyle="1" w:styleId="21">
    <w:name w:val="标题 1 Char"/>
    <w:link w:val="2"/>
    <w:qFormat/>
    <w:uiPriority w:val="0"/>
    <w:rPr>
      <w:rFonts w:eastAsia="黑体" w:asciiTheme="minorAscii" w:hAnsiTheme="minorAscii"/>
      <w:b/>
      <w:kern w:val="44"/>
      <w:sz w:val="44"/>
      <w:szCs w:val="44"/>
    </w:rPr>
  </w:style>
  <w:style w:type="paragraph" w:customStyle="1" w:styleId="22">
    <w:name w:val="Table Paragraph"/>
    <w:qFormat/>
    <w:uiPriority w:val="1"/>
    <w:pPr>
      <w:widowControl w:val="0"/>
      <w:autoSpaceDE w:val="0"/>
      <w:autoSpaceDN w:val="0"/>
      <w:spacing w:line="240" w:lineRule="auto"/>
      <w:ind w:firstLine="0" w:firstLineChars="0"/>
      <w:jc w:val="left"/>
    </w:pPr>
    <w:rPr>
      <w:rFonts w:ascii="宋体" w:hAnsi="宋体" w:eastAsia="宋体" w:cs="宋体"/>
      <w:kern w:val="0"/>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jpe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77</Pages>
  <Words>61743</Words>
  <Characters>71164</Characters>
  <Lines>0</Lines>
  <Paragraphs>0</Paragraphs>
  <TotalTime>4</TotalTime>
  <ScaleCrop>false</ScaleCrop>
  <LinksUpToDate>false</LinksUpToDate>
  <CharactersWithSpaces>71439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2023-11-06T02:00:00Z</dcterms:created>
  <dc:creator>哥伦布的三弟</dc:creator>
  <cp:lastModifiedBy>哥伦布的三弟</cp:lastModifiedBy>
  <dcterms:modified xsi:type="dcterms:W3CDTF">2024-05-08T11:13:25Z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F3A7C2595FBD4973B0C828AF7CD26506_13</vt:lpwstr>
  </property>
</Properties>
</file>